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32" w:tblpY="230"/>
        <w:tblOverlap w:val="never"/>
        <w:tblW w:w="14064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45"/>
        <w:gridCol w:w="720"/>
        <w:gridCol w:w="1120"/>
        <w:gridCol w:w="2375"/>
        <w:gridCol w:w="1287"/>
        <w:gridCol w:w="753"/>
        <w:gridCol w:w="275"/>
        <w:gridCol w:w="1775"/>
        <w:gridCol w:w="230"/>
        <w:gridCol w:w="510"/>
        <w:gridCol w:w="720"/>
        <w:gridCol w:w="765"/>
        <w:gridCol w:w="615"/>
        <w:gridCol w:w="630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/>
                <w:lang w:val="en-US" w:eastAsia="zh-CN"/>
              </w:rPr>
            </w:pPr>
            <w:r>
              <w:rPr>
                <w:rStyle w:val="15"/>
                <w:rFonts w:hint="eastAsia"/>
                <w:b/>
                <w:bCs/>
                <w:lang w:val="en-US" w:eastAsia="zh-CN"/>
              </w:rPr>
              <w:t>附    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64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襄城县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eastAsia="zh-CN"/>
              </w:rPr>
              <w:t>生态环境领域基层政务公开标准目录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行政</w:t>
            </w:r>
            <w:r>
              <w:rPr>
                <w:rStyle w:val="15"/>
                <w:rFonts w:hint="default"/>
                <w:lang w:eastAsia="zh-CN"/>
              </w:rPr>
              <w:br w:type="textWrapping"/>
            </w:r>
            <w:r>
              <w:rPr>
                <w:rStyle w:val="17"/>
                <w:rFonts w:hint="default"/>
                <w:color w:val="000000"/>
                <w:lang w:eastAsia="zh-CN"/>
              </w:rPr>
              <w:t>许可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建设项目环</w:t>
            </w:r>
            <w:r>
              <w:rPr>
                <w:rStyle w:val="17"/>
                <w:rFonts w:hint="default"/>
                <w:color w:val="000000"/>
                <w:lang w:eastAsia="zh-CN"/>
              </w:rPr>
              <w:t>境影</w:t>
            </w:r>
            <w:r>
              <w:rPr>
                <w:rStyle w:val="15"/>
                <w:rFonts w:hint="default"/>
                <w:lang w:eastAsia="zh-CN"/>
              </w:rPr>
              <w:t>响评价文</w:t>
            </w:r>
            <w:r>
              <w:rPr>
                <w:rStyle w:val="17"/>
                <w:rFonts w:hint="default"/>
                <w:color w:val="000000"/>
                <w:lang w:eastAsia="zh-CN"/>
              </w:rPr>
              <w:t>件审批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受理环节：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受理情况公示、报告书（表）全本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拟决定环节：拟审查环评文件基本情况公示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决定环节：环评批复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防治污染设施拆除或闲置审批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企业或单位关闭、闲置、拆除工业固体废物污染环境防治设施、场所的核准结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果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企业或单位拆除、闲置环境噪声污染防治设施的审批结果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《开展基层政务公开标准化规范化试点工作方案》（国办发〔2017〕42 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危险废物经营许可证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受理环节：受理通知书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拟决定环节：向有关部门和专家征求意见、决定前公示等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《危险废物经营许可证管理办法》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《国务院关于取消和下放一批行政审批项目的决定》（国发〔2013〕44号）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《关于做好下放危险废物经营许可审批工作的通知》（环办函〔2014〕551号）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危险废物转移核准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审批事项的材料清单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咨询电话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网上审批入口服务指南及审批信息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《河南省固体废物污染环境防治条例》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《危险废物转移联单管理办法》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使用生</w:t>
            </w:r>
            <w:r>
              <w:rPr>
                <w:rStyle w:val="19"/>
                <w:rFonts w:hint="default"/>
                <w:sz w:val="13"/>
                <w:szCs w:val="13"/>
                <w:lang w:eastAsia="zh-CN"/>
              </w:rPr>
              <w:t>Ⅰ</w:t>
            </w: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、Ⅱ、</w:t>
            </w:r>
            <w:r>
              <w:rPr>
                <w:rStyle w:val="19"/>
                <w:rFonts w:hint="default"/>
                <w:sz w:val="13"/>
                <w:szCs w:val="13"/>
                <w:lang w:eastAsia="zh-CN"/>
              </w:rPr>
              <w:t>Ⅲ</w:t>
            </w: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类放射源（除工业使用的</w:t>
            </w:r>
            <w:r>
              <w:rPr>
                <w:rStyle w:val="19"/>
                <w:rFonts w:hint="default"/>
                <w:sz w:val="13"/>
                <w:szCs w:val="13"/>
                <w:lang w:eastAsia="zh-CN"/>
              </w:rPr>
              <w:t>Ⅰ</w:t>
            </w: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类放射源）、乙级非密封放射性物质工作场所、生产Ⅱ类射线装置、制备正电子发射计算机断层现象装置（PET）用放射性药物的加速器、工业辐照用加速器的辐射安全许可证核发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受理环节：受理通知书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拟决定环节：决定前公示等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决定环节：辐射安全许可证信息公示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4.</w:t>
            </w:r>
            <w:r>
              <w:rPr>
                <w:rStyle w:val="15"/>
                <w:rFonts w:hint="default"/>
                <w:lang w:eastAsia="zh-CN"/>
              </w:rPr>
              <w:t>送达环节：送达单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《河南省生态环境厅职能配置、内设机构和人员编制规定》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放射性同位素野外示踪试验审批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.受理环节：受理情况公示、报告表全本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.拟决定环节：拟审查环评文件基本情况公示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.决定环节：环评批复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《河南省生态环境厅职能配置、内设机构和人员编制规定》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辐射类建设项目环境影响评价审批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.受理环节：受理情况公示、报告书（表）全本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.拟决定坏节：拟审查环评文件基本情况公示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决定环节：环评批复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《河南省生态环境厅职能配置、内设机构和人员编制规定》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放射性同位素转让审批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.受理环节：受理通知书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.拟决定环节：决定前公示等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.决定环节：放射性同位素转让审批信息公示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4</w:t>
            </w:r>
            <w:r>
              <w:rPr>
                <w:rStyle w:val="15"/>
                <w:rFonts w:hint="default"/>
                <w:lang w:eastAsia="zh-CN"/>
              </w:rPr>
              <w:t>.送达环节：送达单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 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 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 规定》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eastAsia="宋体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行政处罚、行政 强制和行政命令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行政处罚流程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.行政处罚事先告知书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.行政处罚听证通知书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.处罚执行情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况：同意分期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（延期）缴纳罚款通知书、督促履行义务催告书、强制执行申请书等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 和国环境噪声污染防治法》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《中华人民共和国固体废物污染环境防治法》《中华人民共和国放射性污染防治法》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《环境行政处罚办法》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行政处罚决定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行政处罚决定书（全文公开）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中华人民共和国环境保护法》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《环境行政处罚办法》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行政强制流程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.査封、扣押清单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.查封（扣押）延期通知书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.解除查封（扣押）决定书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 国环境噪声污染防治法》《中华人民共 和国土壤污染防治法》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《环境行政处罚办法》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行政强制决定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査封、扣押决定书（全文公开）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《环境行政处罚办法》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  <w:bookmarkEnd w:id="0"/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行政命令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责令改正违法行为决定书（全文公开）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《中华人民共和国土壊污染防治法》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《中华人民共和国固体废物污染环境防治法》《中华人民共和国放射性污染防治法》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《环境行政处罚办法》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行政奖励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奖励办法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.奖励公告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.奖励决定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《环境行政处罚办法》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行政确认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运行环节：受理、确认、送达、事后监管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.责任事项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行政裁决和行政调解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运行环节：受理、审理、裁决或调解、执行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责任事项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《中华人民共和国噪声污染防治法》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行政给付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运行环节：受理、审查、决定、给付、事后监管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责任事项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行政检査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运行环节：制定方案、实施检查、事后监管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.责任事项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职责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生态环境保护督察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按要求公开生态环境保护督察进驻时限，受理投诉、举报途径，督察反馈问题，受理投诉、举报查处情况，反馈问题整改情况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 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《关于全面推进政务公开工作的意见》（中办〔2016〕8号）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《开展基层政务公开标准化规范化试点工作方案》（国办发〔2017〕42号）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7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kwNGJlMzhhNjJmM2I3OTVkMDIyNjQ3OWQyZTU4YWUifQ=="/>
  </w:docVars>
  <w:rsids>
    <w:rsidRoot w:val="00000000"/>
    <w:rsid w:val="0EC51B28"/>
    <w:rsid w:val="25571A8D"/>
    <w:rsid w:val="2ACA13B7"/>
    <w:rsid w:val="45072ED4"/>
    <w:rsid w:val="54263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spacing w:line="420" w:lineRule="atLeast"/>
    </w:pPr>
    <w:rPr>
      <w:rFonts w:ascii="Calibri" w:hAnsi="Calibri" w:eastAsia="宋体" w:cs="Times New Roman"/>
      <w:sz w:val="21"/>
      <w:szCs w:val="24"/>
      <w:lang w:val="en-US"/>
    </w:rPr>
  </w:style>
  <w:style w:type="paragraph" w:styleId="3">
    <w:name w:val="caption"/>
    <w:basedOn w:val="1"/>
    <w:next w:val="1"/>
    <w:qFormat/>
    <w:uiPriority w:val="35"/>
    <w:pPr>
      <w:spacing w:before="120"/>
      <w:ind w:left="425" w:hanging="425"/>
      <w:jc w:val="center"/>
    </w:pPr>
    <w:rPr>
      <w:rFonts w:ascii="黑体" w:hAnsi="黑体" w:eastAsia="黑体"/>
      <w:sz w:val="20"/>
      <w:szCs w:val="20"/>
    </w:rPr>
  </w:style>
  <w:style w:type="paragraph" w:styleId="4">
    <w:name w:val="Body Text"/>
    <w:basedOn w:val="1"/>
    <w:semiHidden/>
    <w:unhideWhenUsed/>
    <w:qFormat/>
    <w:uiPriority w:val="99"/>
    <w:pPr>
      <w:snapToGrid w:val="0"/>
      <w:spacing w:beforeLines="50" w:afterLines="50" w:line="240" w:lineRule="auto"/>
      <w:ind w:left="406"/>
      <w:jc w:val="both"/>
    </w:pPr>
    <w:rPr>
      <w:rFonts w:ascii="宋体" w:hAnsi="宋体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line="574" w:lineRule="exact"/>
      <w:ind w:firstLine="6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161229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564758"/>
      <w:sz w:val="22"/>
      <w:szCs w:val="22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7176</Words>
  <Characters>7273</Characters>
  <Lines>0</Lines>
  <Paragraphs>0</Paragraphs>
  <TotalTime>165</TotalTime>
  <ScaleCrop>false</ScaleCrop>
  <LinksUpToDate>false</LinksUpToDate>
  <CharactersWithSpaces>7448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2017-03-01T08:39:00Z</dcterms:created>
  <dc:creator>hb</dc:creator>
  <cp:lastModifiedBy>hello</cp:lastModifiedBy>
  <cp:lastPrinted>2020-11-19T03:41:00Z</cp:lastPrinted>
  <dcterms:modified xsi:type="dcterms:W3CDTF">2022-09-02T03:45:55Z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FD3229D81539436E9F1255557652CB84</vt:lpwstr>
  </property>
</Properties>
</file>