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04C5C">
      <w:pPr>
        <w:pStyle w:val="13"/>
        <w:jc w:val="center"/>
        <w:rPr>
          <w:rFonts w:ascii="宋体" w:hAnsi="宋体" w:cs="宋体"/>
          <w:b/>
          <w:sz w:val="36"/>
          <w:szCs w:val="36"/>
        </w:rPr>
      </w:pPr>
      <w:bookmarkStart w:id="0" w:name="bookmark3"/>
    </w:p>
    <w:p w14:paraId="44E603C6">
      <w:pPr>
        <w:pStyle w:val="13"/>
        <w:jc w:val="center"/>
        <w:rPr>
          <w:rStyle w:val="22"/>
          <w:rFonts w:hint="eastAsia" w:ascii="宋体" w:hAnsi="宋体" w:eastAsia="宋体"/>
          <w:b/>
          <w:spacing w:val="0"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襄城县集中式生活饮用水</w:t>
      </w:r>
      <w:r>
        <w:rPr>
          <w:rStyle w:val="22"/>
          <w:rFonts w:hint="eastAsia" w:ascii="宋体" w:hAnsi="宋体" w:eastAsia="宋体"/>
          <w:b/>
          <w:spacing w:val="0"/>
          <w:sz w:val="44"/>
          <w:szCs w:val="44"/>
        </w:rPr>
        <w:t>水源水质状况报告</w:t>
      </w:r>
      <w:bookmarkEnd w:id="0"/>
    </w:p>
    <w:p w14:paraId="3122A9C2">
      <w:pPr>
        <w:pStyle w:val="13"/>
        <w:jc w:val="center"/>
        <w:rPr>
          <w:rFonts w:hint="eastAsia" w:ascii="宋体" w:hAnsi="宋体" w:eastAsia="宋体"/>
          <w:color w:val="000000"/>
          <w:sz w:val="32"/>
          <w:szCs w:val="32"/>
        </w:rPr>
      </w:pPr>
      <w:r>
        <w:rPr>
          <w:rFonts w:ascii="宋体" w:hAnsi="宋体" w:eastAsia="宋体"/>
          <w:color w:val="000000"/>
          <w:sz w:val="32"/>
          <w:szCs w:val="32"/>
          <w:lang w:val="zh-TW" w:eastAsia="zh-TW"/>
        </w:rPr>
        <w:t>(</w:t>
      </w:r>
      <w:r>
        <w:rPr>
          <w:rFonts w:ascii="宋体" w:hAnsi="宋体" w:eastAsia="宋体"/>
          <w:sz w:val="32"/>
          <w:szCs w:val="32"/>
        </w:rPr>
        <w:t>20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2</w:t>
      </w:r>
      <w:r>
        <w:rPr>
          <w:rFonts w:hint="eastAsia" w:ascii="宋体" w:hAnsi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第一季度</w:t>
      </w:r>
      <w:r>
        <w:rPr>
          <w:rFonts w:hint="eastAsia" w:ascii="宋体" w:hAnsi="宋体" w:eastAsia="宋体"/>
          <w:color w:val="000000"/>
          <w:sz w:val="32"/>
          <w:szCs w:val="32"/>
        </w:rPr>
        <w:t>）</w:t>
      </w:r>
    </w:p>
    <w:p w14:paraId="4F90C196">
      <w:pPr>
        <w:pStyle w:val="9"/>
        <w:shd w:val="clear" w:color="auto" w:fill="auto"/>
        <w:tabs>
          <w:tab w:val="left" w:pos="1207"/>
        </w:tabs>
        <w:spacing w:line="600" w:lineRule="exact"/>
        <w:ind w:firstLine="643" w:firstLineChars="200"/>
        <w:jc w:val="both"/>
        <w:rPr>
          <w:rFonts w:ascii="宋体" w:hAnsi="宋体" w:eastAsia="宋体"/>
          <w:spacing w:val="0"/>
        </w:rPr>
      </w:pPr>
      <w:r>
        <w:rPr>
          <w:rFonts w:hint="eastAsia" w:ascii="宋体" w:hAnsi="宋体" w:eastAsia="宋体"/>
          <w:color w:val="000000"/>
          <w:spacing w:val="0"/>
          <w:lang w:val="zh-TW"/>
        </w:rPr>
        <w:t>一、监测情况</w:t>
      </w:r>
    </w:p>
    <w:p w14:paraId="3328A68B">
      <w:pPr>
        <w:pStyle w:val="10"/>
        <w:shd w:val="clear" w:color="auto" w:fill="auto"/>
        <w:spacing w:line="600" w:lineRule="exact"/>
        <w:ind w:left="40" w:firstLine="640" w:firstLineChars="200"/>
        <w:jc w:val="both"/>
        <w:rPr>
          <w:rStyle w:val="31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31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按照《2025年许昌市生态环境监测方案的通知》要求，许昌市生态环境局襄城分局按照环境监测技术规范要求，安排人员对</w:t>
      </w:r>
    </w:p>
    <w:p w14:paraId="23D31BCD">
      <w:pPr>
        <w:pStyle w:val="10"/>
        <w:shd w:val="clear" w:color="auto" w:fill="auto"/>
        <w:spacing w:line="600" w:lineRule="exact"/>
        <w:ind w:left="0" w:leftChars="0" w:firstLine="0" w:firstLineChars="0"/>
        <w:jc w:val="left"/>
        <w:rPr>
          <w:rStyle w:val="31"/>
          <w:rFonts w:hint="default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31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我县城市集中式饮用水水源第三水厂开展采样监测。</w:t>
      </w:r>
    </w:p>
    <w:p w14:paraId="42790466">
      <w:pPr>
        <w:pStyle w:val="10"/>
        <w:shd w:val="clear" w:color="auto" w:fill="auto"/>
        <w:spacing w:line="600" w:lineRule="exact"/>
        <w:ind w:left="40" w:firstLine="640" w:firstLineChars="200"/>
        <w:jc w:val="both"/>
        <w:rPr>
          <w:rFonts w:ascii="宋体" w:hAnsi="宋体" w:eastAsia="宋体"/>
          <w:spacing w:val="0"/>
        </w:rPr>
      </w:pPr>
      <w:r>
        <w:rPr>
          <w:rStyle w:val="15"/>
          <w:rFonts w:hint="eastAsia" w:eastAsia="宋体"/>
          <w:b w:val="0"/>
          <w:bCs w:val="0"/>
          <w:spacing w:val="0"/>
          <w:sz w:val="32"/>
          <w:szCs w:val="32"/>
        </w:rPr>
        <w:t>（1）</w:t>
      </w:r>
      <w:r>
        <w:rPr>
          <w:rFonts w:hint="eastAsia" w:ascii="宋体" w:hAnsi="宋体" w:eastAsia="宋体"/>
          <w:color w:val="000000"/>
          <w:spacing w:val="0"/>
          <w:lang w:val="zh-TW"/>
        </w:rPr>
        <w:t>监测点位</w:t>
      </w:r>
    </w:p>
    <w:p w14:paraId="07ECB6A0">
      <w:pPr>
        <w:pStyle w:val="10"/>
        <w:shd w:val="clear" w:color="auto" w:fill="auto"/>
        <w:spacing w:line="600" w:lineRule="exact"/>
        <w:ind w:left="40" w:firstLine="640" w:firstLineChars="200"/>
        <w:jc w:val="both"/>
        <w:rPr>
          <w:rStyle w:val="31"/>
          <w:rFonts w:hint="eastAsia" w:ascii="仿宋" w:hAnsi="仿宋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zh-TW" w:eastAsia="zh-CN" w:bidi="ar-SA"/>
        </w:rPr>
      </w:pPr>
      <w:r>
        <w:rPr>
          <w:rStyle w:val="31"/>
          <w:rFonts w:hint="eastAsia" w:ascii="仿宋" w:hAnsi="仿宋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第三水厂配水井</w:t>
      </w:r>
      <w:r>
        <w:rPr>
          <w:rStyle w:val="31"/>
          <w:rFonts w:hint="eastAsia" w:ascii="仿宋" w:hAnsi="仿宋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zh-TW" w:eastAsia="zh-CN" w:bidi="ar-SA"/>
        </w:rPr>
        <w:t>水源：具备</w:t>
      </w:r>
      <w:r>
        <w:rPr>
          <w:rStyle w:val="31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采样</w:t>
      </w:r>
      <w:r>
        <w:rPr>
          <w:rStyle w:val="31"/>
          <w:rFonts w:hint="eastAsia" w:ascii="仿宋" w:hAnsi="仿宋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zh-TW" w:eastAsia="zh-CN" w:bidi="ar-SA"/>
        </w:rPr>
        <w:t>条件，在配水井处</w:t>
      </w:r>
      <w:r>
        <w:rPr>
          <w:rStyle w:val="31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采样。</w:t>
      </w:r>
    </w:p>
    <w:p w14:paraId="353BF619">
      <w:pPr>
        <w:pStyle w:val="7"/>
        <w:shd w:val="clear" w:color="auto" w:fill="auto"/>
        <w:spacing w:before="0" w:after="0" w:line="600" w:lineRule="exact"/>
        <w:ind w:left="40" w:firstLine="620"/>
        <w:jc w:val="both"/>
        <w:rPr>
          <w:rFonts w:ascii="宋体" w:hAnsi="宋体" w:eastAsia="宋体"/>
          <w:b/>
          <w:sz w:val="32"/>
          <w:szCs w:val="32"/>
        </w:rPr>
      </w:pPr>
      <w:r>
        <w:rPr>
          <w:rStyle w:val="15"/>
          <w:rFonts w:hint="eastAsia" w:eastAsia="宋体"/>
          <w:b/>
          <w:spacing w:val="0"/>
          <w:sz w:val="32"/>
          <w:szCs w:val="32"/>
        </w:rPr>
        <w:t>（2）</w:t>
      </w:r>
      <w:r>
        <w:rPr>
          <w:rFonts w:hint="eastAsia" w:ascii="宋体" w:hAnsi="宋体" w:eastAsia="宋体"/>
          <w:b/>
          <w:color w:val="000000"/>
          <w:sz w:val="32"/>
          <w:szCs w:val="32"/>
          <w:lang w:val="zh-TW"/>
        </w:rPr>
        <w:t>监测项目</w:t>
      </w:r>
    </w:p>
    <w:p w14:paraId="467BD302">
      <w:pPr>
        <w:pStyle w:val="10"/>
        <w:shd w:val="clear" w:color="auto" w:fill="auto"/>
        <w:spacing w:line="600" w:lineRule="exact"/>
        <w:ind w:left="40" w:firstLine="640" w:firstLineChars="200"/>
        <w:jc w:val="both"/>
        <w:rPr>
          <w:rStyle w:val="31"/>
          <w:rFonts w:hint="eastAsia" w:ascii="仿宋" w:hAnsi="仿宋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</w:pPr>
      <w:r>
        <w:rPr>
          <w:rStyle w:val="31"/>
          <w:rFonts w:hint="eastAsia" w:ascii="仿宋" w:hAnsi="仿宋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地表水水源：监测项目为《地表水环境质量标准》（GB3828-2002)</w:t>
      </w:r>
      <w:r>
        <w:rPr>
          <w:rStyle w:val="31"/>
          <w:rFonts w:hint="eastAsia" w:ascii="仿宋" w:hAnsi="仿宋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highlight w:val="none"/>
          <w:lang w:val="zh-TW" w:eastAsia="zh-CN" w:bidi="ar-SA"/>
        </w:rPr>
        <w:t>中</w:t>
      </w:r>
      <w:r>
        <w:rPr>
          <w:rStyle w:val="31"/>
          <w:rFonts w:hint="eastAsia" w:ascii="仿宋" w:hAnsi="仿宋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的前61</w:t>
      </w:r>
      <w:r>
        <w:rPr>
          <w:rStyle w:val="31"/>
          <w:rFonts w:hint="eastAsia" w:ascii="仿宋" w:hAnsi="仿宋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highlight w:val="none"/>
          <w:lang w:val="zh-TW" w:eastAsia="zh-CN" w:bidi="ar-SA"/>
        </w:rPr>
        <w:t>项</w:t>
      </w:r>
      <w:r>
        <w:rPr>
          <w:rStyle w:val="31"/>
          <w:rFonts w:hint="eastAsia" w:ascii="仿宋" w:hAnsi="仿宋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监测因子。</w:t>
      </w:r>
    </w:p>
    <w:p w14:paraId="2930F69F">
      <w:pPr>
        <w:pStyle w:val="7"/>
        <w:shd w:val="clear" w:color="auto" w:fill="auto"/>
        <w:spacing w:before="0" w:after="0" w:line="600" w:lineRule="exact"/>
        <w:ind w:firstLine="643" w:firstLineChars="200"/>
        <w:jc w:val="both"/>
        <w:rPr>
          <w:rStyle w:val="15"/>
          <w:rFonts w:hint="eastAsia" w:eastAsia="宋体"/>
          <w:b/>
          <w:spacing w:val="0"/>
          <w:sz w:val="32"/>
          <w:szCs w:val="32"/>
          <w:highlight w:val="none"/>
          <w:lang w:val="en-US" w:eastAsia="zh-CN"/>
        </w:rPr>
      </w:pPr>
      <w:r>
        <w:rPr>
          <w:rStyle w:val="15"/>
          <w:rFonts w:hint="eastAsia" w:eastAsia="宋体"/>
          <w:b/>
          <w:spacing w:val="0"/>
          <w:sz w:val="32"/>
          <w:szCs w:val="32"/>
          <w:highlight w:val="none"/>
          <w:lang w:val="zh-TW" w:eastAsia="zh-CN"/>
        </w:rPr>
        <w:t>二、评价标准及方法</w:t>
      </w:r>
    </w:p>
    <w:p w14:paraId="2439D373">
      <w:pPr>
        <w:pStyle w:val="10"/>
        <w:shd w:val="clear" w:color="auto" w:fill="auto"/>
        <w:spacing w:line="600" w:lineRule="exact"/>
        <w:ind w:left="40" w:firstLine="640" w:firstLineChars="200"/>
        <w:jc w:val="both"/>
        <w:rPr>
          <w:rStyle w:val="31"/>
          <w:rFonts w:hint="eastAsia" w:ascii="仿宋" w:hAnsi="仿宋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highlight w:val="none"/>
          <w:lang w:val="en-US" w:eastAsia="zh-TW" w:bidi="ar-SA"/>
        </w:rPr>
      </w:pPr>
      <w:r>
        <w:rPr>
          <w:rStyle w:val="31"/>
          <w:rFonts w:hint="eastAsia" w:ascii="仿宋" w:hAnsi="仿宋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第三水厂水源根据《地表水环境质量标准》（GB3828-2002)采用单因子评价法进行评价。</w:t>
      </w:r>
    </w:p>
    <w:p w14:paraId="06B34136">
      <w:pPr>
        <w:pStyle w:val="9"/>
        <w:shd w:val="clear" w:color="auto" w:fill="auto"/>
        <w:tabs>
          <w:tab w:val="left" w:pos="5470"/>
        </w:tabs>
        <w:spacing w:line="619" w:lineRule="exact"/>
        <w:ind w:firstLine="643" w:firstLineChars="200"/>
        <w:jc w:val="both"/>
        <w:rPr>
          <w:rFonts w:ascii="宋体" w:hAnsi="宋体" w:eastAsia="宋体" w:cs="Times New Roman"/>
          <w:spacing w:val="0"/>
          <w:highlight w:val="none"/>
        </w:rPr>
      </w:pPr>
      <w:r>
        <w:rPr>
          <w:rFonts w:hint="eastAsia" w:ascii="宋体" w:hAnsi="宋体" w:eastAsia="宋体"/>
          <w:color w:val="000000"/>
          <w:spacing w:val="0"/>
          <w:highlight w:val="none"/>
          <w:lang w:val="zh-TW"/>
        </w:rPr>
        <w:t>三、评价结果</w:t>
      </w:r>
    </w:p>
    <w:p w14:paraId="2CC3A6D7">
      <w:pPr>
        <w:pStyle w:val="12"/>
        <w:shd w:val="clear" w:color="auto" w:fill="auto"/>
        <w:spacing w:line="619" w:lineRule="exact"/>
        <w:jc w:val="both"/>
        <w:rPr>
          <w:rFonts w:ascii="宋体" w:hAnsi="宋体" w:eastAsia="宋体"/>
          <w:b/>
          <w:spacing w:val="0"/>
          <w:sz w:val="32"/>
          <w:szCs w:val="32"/>
          <w:highlight w:val="none"/>
        </w:rPr>
      </w:pPr>
      <w:r>
        <w:rPr>
          <w:rStyle w:val="15"/>
          <w:rFonts w:hint="eastAsia" w:eastAsia="宋体"/>
          <w:b/>
          <w:spacing w:val="0"/>
          <w:sz w:val="32"/>
          <w:szCs w:val="32"/>
          <w:highlight w:val="none"/>
        </w:rPr>
        <w:t>（1）</w:t>
      </w:r>
      <w:r>
        <w:rPr>
          <w:rFonts w:hint="eastAsia" w:ascii="宋体" w:hAnsi="宋体" w:eastAsia="宋体"/>
          <w:b/>
          <w:color w:val="000000"/>
          <w:spacing w:val="0"/>
          <w:sz w:val="32"/>
          <w:szCs w:val="32"/>
          <w:highlight w:val="none"/>
          <w:lang w:val="zh-TW"/>
        </w:rPr>
        <w:t>总体情况</w:t>
      </w:r>
    </w:p>
    <w:p w14:paraId="7DC8B744">
      <w:pPr>
        <w:pStyle w:val="10"/>
        <w:shd w:val="clear" w:color="auto" w:fill="auto"/>
        <w:spacing w:line="600" w:lineRule="exact"/>
        <w:ind w:left="40" w:firstLine="640" w:firstLineChars="200"/>
        <w:jc w:val="both"/>
        <w:rPr>
          <w:rStyle w:val="31"/>
          <w:rFonts w:hint="eastAsia" w:ascii="仿宋" w:hAnsi="仿宋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</w:pPr>
      <w:r>
        <w:rPr>
          <w:rStyle w:val="31"/>
          <w:rFonts w:hint="eastAsia" w:ascii="仿宋" w:hAnsi="仿宋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第一季度</w:t>
      </w:r>
      <w:r>
        <w:rPr>
          <w:rStyle w:val="31"/>
          <w:rFonts w:hint="eastAsia" w:ascii="仿宋" w:hAnsi="仿宋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highlight w:val="none"/>
          <w:lang w:val="zh-TW" w:eastAsia="zh-CN" w:bidi="ar-SA"/>
        </w:rPr>
        <w:t>在用集中式饮用水水源</w:t>
      </w:r>
      <w:r>
        <w:rPr>
          <w:rStyle w:val="31"/>
          <w:rFonts w:hint="eastAsia" w:ascii="仿宋" w:hAnsi="仿宋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第三水厂源水中前61</w:t>
      </w:r>
      <w:r>
        <w:rPr>
          <w:rStyle w:val="31"/>
          <w:rFonts w:hint="eastAsia" w:ascii="仿宋" w:hAnsi="仿宋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highlight w:val="none"/>
          <w:lang w:val="zh-TW" w:eastAsia="zh-CN" w:bidi="ar-SA"/>
        </w:rPr>
        <w:t>项</w:t>
      </w:r>
      <w:r>
        <w:rPr>
          <w:rStyle w:val="31"/>
          <w:rFonts w:hint="eastAsia" w:ascii="仿宋" w:hAnsi="仿宋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监测因子全部达标。(</w:t>
      </w:r>
      <w:r>
        <w:rPr>
          <w:rStyle w:val="31"/>
          <w:rFonts w:hint="eastAsia" w:ascii="仿宋" w:hAnsi="仿宋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highlight w:val="none"/>
          <w:lang w:val="zh-TW" w:eastAsia="zh-CN" w:bidi="ar-SA"/>
        </w:rPr>
        <w:t>详见附表</w:t>
      </w:r>
      <w:r>
        <w:rPr>
          <w:rStyle w:val="31"/>
          <w:rFonts w:hint="eastAsia" w:ascii="仿宋" w:hAnsi="仿宋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)</w:t>
      </w:r>
    </w:p>
    <w:p w14:paraId="4E32A628">
      <w:pPr>
        <w:pStyle w:val="12"/>
        <w:shd w:val="clear" w:color="auto" w:fill="auto"/>
        <w:spacing w:before="240" w:after="37" w:line="350" w:lineRule="exact"/>
        <w:ind w:left="0" w:leftChars="0" w:firstLine="643" w:firstLineChars="200"/>
        <w:jc w:val="both"/>
        <w:rPr>
          <w:rFonts w:ascii="宋体" w:hAnsi="宋体" w:eastAsia="宋体"/>
          <w:b/>
          <w:spacing w:val="0"/>
          <w:sz w:val="32"/>
          <w:szCs w:val="32"/>
          <w:highlight w:val="none"/>
        </w:rPr>
      </w:pPr>
      <w:r>
        <w:rPr>
          <w:rStyle w:val="15"/>
          <w:rFonts w:hint="eastAsia" w:eastAsia="宋体"/>
          <w:b/>
          <w:spacing w:val="0"/>
          <w:sz w:val="32"/>
          <w:szCs w:val="32"/>
          <w:highlight w:val="none"/>
        </w:rPr>
        <w:t>（2）</w:t>
      </w:r>
      <w:r>
        <w:rPr>
          <w:rFonts w:hint="eastAsia" w:ascii="宋体" w:hAnsi="宋体" w:eastAsia="宋体"/>
          <w:b/>
          <w:color w:val="000000"/>
          <w:spacing w:val="0"/>
          <w:sz w:val="32"/>
          <w:szCs w:val="32"/>
          <w:highlight w:val="none"/>
          <w:lang w:val="zh-TW"/>
        </w:rPr>
        <w:t>地</w:t>
      </w:r>
      <w:r>
        <w:rPr>
          <w:rFonts w:hint="eastAsia" w:ascii="宋体" w:hAnsi="宋体" w:eastAsia="宋体"/>
          <w:b/>
          <w:color w:val="000000"/>
          <w:spacing w:val="0"/>
          <w:sz w:val="32"/>
          <w:szCs w:val="32"/>
          <w:highlight w:val="none"/>
        </w:rPr>
        <w:t>表水</w:t>
      </w:r>
      <w:r>
        <w:rPr>
          <w:rFonts w:hint="eastAsia" w:ascii="宋体" w:hAnsi="宋体" w:eastAsia="宋体"/>
          <w:b/>
          <w:color w:val="000000"/>
          <w:spacing w:val="0"/>
          <w:sz w:val="32"/>
          <w:szCs w:val="32"/>
          <w:highlight w:val="none"/>
          <w:lang w:val="zh-TW"/>
        </w:rPr>
        <w:t>水源</w:t>
      </w:r>
    </w:p>
    <w:p w14:paraId="18B4A9F9">
      <w:pPr>
        <w:pStyle w:val="7"/>
        <w:shd w:val="clear" w:color="auto" w:fill="auto"/>
        <w:spacing w:before="0" w:after="0" w:line="624" w:lineRule="exact"/>
        <w:ind w:right="420" w:firstLine="640" w:firstLineChars="200"/>
        <w:jc w:val="left"/>
        <w:rPr>
          <w:rStyle w:val="31"/>
          <w:rFonts w:hint="eastAsia" w:ascii="仿宋" w:hAnsi="仿宋" w:eastAsia="仿宋" w:cs="Times New Roman"/>
          <w:b w:val="0"/>
          <w:bCs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</w:pPr>
      <w:r>
        <w:rPr>
          <w:rStyle w:val="31"/>
          <w:rFonts w:hint="eastAsia" w:ascii="仿宋" w:hAnsi="仿宋" w:eastAsia="仿宋" w:cs="Times New Roman"/>
          <w:b w:val="0"/>
          <w:bCs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第一季度</w:t>
      </w:r>
      <w:r>
        <w:rPr>
          <w:rStyle w:val="31"/>
          <w:rFonts w:hint="eastAsia" w:ascii="仿宋" w:hAnsi="仿宋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第三水厂源水</w:t>
      </w:r>
      <w:r>
        <w:rPr>
          <w:rStyle w:val="31"/>
          <w:rFonts w:hint="eastAsia" w:ascii="仿宋" w:hAnsi="仿宋" w:eastAsia="仿宋" w:cs="Times New Roman"/>
          <w:b w:val="0"/>
          <w:bCs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前61</w:t>
      </w:r>
      <w:r>
        <w:rPr>
          <w:rStyle w:val="31"/>
          <w:rFonts w:hint="eastAsia" w:ascii="仿宋" w:hAnsi="仿宋" w:eastAsia="仿宋" w:cs="Times New Roman"/>
          <w:b w:val="0"/>
          <w:bCs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zh-TW" w:eastAsia="zh-CN" w:bidi="ar-SA"/>
        </w:rPr>
        <w:t>项</w:t>
      </w:r>
      <w:r>
        <w:rPr>
          <w:rStyle w:val="31"/>
          <w:rFonts w:hint="eastAsia" w:ascii="仿宋" w:hAnsi="仿宋" w:eastAsia="仿宋" w:cs="Times New Roman"/>
          <w:b w:val="0"/>
          <w:bCs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监测因子全部符合</w:t>
      </w:r>
      <w:r>
        <w:rPr>
          <w:rStyle w:val="31"/>
          <w:rFonts w:hint="eastAsia" w:ascii="仿宋" w:hAnsi="仿宋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《地表水环境质量标准》</w:t>
      </w:r>
      <w:r>
        <w:rPr>
          <w:rStyle w:val="31"/>
          <w:rFonts w:hint="eastAsia" w:ascii="仿宋" w:hAnsi="仿宋" w:eastAsia="仿宋" w:cs="Times New Roman"/>
          <w:b w:val="0"/>
          <w:bCs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（GB3828-2002)</w:t>
      </w:r>
      <w:bookmarkStart w:id="2" w:name="_GoBack"/>
      <w:bookmarkEnd w:id="2"/>
      <w:r>
        <w:rPr>
          <w:rStyle w:val="31"/>
          <w:rFonts w:hint="eastAsia" w:ascii="仿宋" w:hAnsi="仿宋" w:eastAsia="仿宋" w:cs="Times New Roman"/>
          <w:b w:val="0"/>
          <w:bCs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Ⅲ类水质标准。</w:t>
      </w:r>
    </w:p>
    <w:p w14:paraId="3E46FE59">
      <w:pPr>
        <w:pStyle w:val="11"/>
        <w:shd w:val="clear" w:color="auto" w:fill="auto"/>
        <w:spacing w:after="752" w:line="440" w:lineRule="exact"/>
        <w:ind w:right="40"/>
        <w:jc w:val="left"/>
        <w:rPr>
          <w:rStyle w:val="31"/>
          <w:rFonts w:hint="eastAsia" w:ascii="仿宋" w:hAnsi="仿宋" w:eastAsia="仿宋" w:cs="Times New Roman"/>
          <w:b w:val="0"/>
          <w:bCs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sectPr>
          <w:headerReference r:id="rId3" w:type="even"/>
          <w:pgSz w:w="11909" w:h="16838"/>
          <w:pgMar w:top="1282" w:right="1433" w:bottom="1806" w:left="1462" w:header="0" w:footer="3" w:gutter="0"/>
          <w:cols w:space="720" w:num="1"/>
          <w:titlePg/>
          <w:docGrid w:linePitch="360" w:charSpace="0"/>
        </w:sectPr>
      </w:pPr>
    </w:p>
    <w:p w14:paraId="6FAC92C9">
      <w:pPr>
        <w:pStyle w:val="11"/>
        <w:shd w:val="clear" w:color="auto" w:fill="auto"/>
        <w:spacing w:after="752" w:line="440" w:lineRule="exact"/>
        <w:ind w:right="40"/>
        <w:rPr>
          <w:rFonts w:ascii="宋体" w:hAnsi="宋体" w:eastAsia="宋体"/>
          <w:spacing w:val="0"/>
        </w:rPr>
      </w:pPr>
      <w:r>
        <w:rPr>
          <w:rFonts w:ascii="MingLiU" w:hAnsi="MingLiU" w:eastAsia="MingLiU" w:cs="MingLiU"/>
          <w:color w:val="auto"/>
          <w:spacing w:val="-50"/>
          <w:kern w:val="2"/>
          <w:sz w:val="39"/>
          <w:szCs w:val="39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22225</wp:posOffset>
                </wp:positionH>
                <wp:positionV relativeFrom="margin">
                  <wp:posOffset>-664210</wp:posOffset>
                </wp:positionV>
                <wp:extent cx="490855" cy="201295"/>
                <wp:effectExtent l="0" t="0" r="0" b="0"/>
                <wp:wrapTopAndBottom/>
                <wp:docPr id="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855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C14143"/>
                        </w:txbxContent>
                      </wps:txbx>
                      <wps:bodyPr vert="ea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文本框 3" o:spid="_x0000_s1026" o:spt="1" style="position:absolute;left:0pt;margin-left:1.75pt;margin-top:-52.3pt;height:15.85pt;width:38.65pt;mso-position-horizontal-relative:margin;mso-position-vertical-relative:margin;mso-wrap-distance-bottom:0pt;mso-wrap-distance-top:0pt;z-index:-251657216;mso-width-relative:page;mso-height-relative:page;" filled="f" stroked="f" coordsize="21600,21600" o:gfxdata="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YZGx72gAAAAkBAAAPAAAAAAAAAAEAIAAAACIAAABkcnMvZG93bnJldi54bWxQ&#10;SwECFAAUAAAACACHTuJAubKFtrwBAAB1AwAADgAAAAAAAAABACAAAAApAQAAZHJzL2Uyb0RvYy54&#10;bWxQSwUGAAAAAAYABgBZAQAAVwUAAAAA&#10;">
                <v:fill on="f" focussize="0,0"/>
                <v:stroke on="f"/>
                <v:imagedata o:title=""/>
                <o:lock v:ext="edit" aspectratio="f"/>
                <v:textbox inset="0mm,0mm,0mm,0mm" style="layout-flow:vertical-ideographic;">
                  <w:txbxContent>
                    <w:p w14:paraId="63C14143"/>
                  </w:txbxContent>
                </v:textbox>
                <w10:wrap type="topAndBottom"/>
              </v:rect>
            </w:pict>
          </mc:Fallback>
        </mc:AlternateContent>
      </w:r>
      <w:bookmarkStart w:id="1" w:name="bookmark5"/>
      <w:r>
        <w:rPr>
          <w:rStyle w:val="26"/>
          <w:rFonts w:eastAsia="宋体"/>
          <w:spacing w:val="0"/>
        </w:rPr>
        <w:t>20</w:t>
      </w:r>
      <w:r>
        <w:rPr>
          <w:rStyle w:val="26"/>
          <w:rFonts w:hint="eastAsia" w:eastAsia="宋体"/>
          <w:spacing w:val="0"/>
          <w:lang w:val="en-US" w:eastAsia="zh-CN"/>
        </w:rPr>
        <w:t>25</w:t>
      </w:r>
      <w:r>
        <w:rPr>
          <w:rFonts w:hint="eastAsia" w:ascii="宋体" w:hAnsi="宋体" w:eastAsia="宋体"/>
          <w:color w:val="000000"/>
          <w:spacing w:val="0"/>
          <w:lang w:val="zh-TW"/>
        </w:rPr>
        <w:t>年</w:t>
      </w:r>
      <w:r>
        <w:rPr>
          <w:rFonts w:hint="eastAsia" w:ascii="宋体" w:hAnsi="宋体" w:eastAsia="宋体"/>
          <w:color w:val="000000"/>
          <w:spacing w:val="0"/>
          <w:lang w:val="en-US" w:eastAsia="zh-CN"/>
        </w:rPr>
        <w:t>第一季度</w:t>
      </w:r>
      <w:r>
        <w:rPr>
          <w:rFonts w:hint="eastAsia" w:ascii="宋体" w:hAnsi="宋体" w:eastAsia="宋体"/>
          <w:spacing w:val="0"/>
        </w:rPr>
        <w:t>襄城县</w:t>
      </w:r>
      <w:r>
        <w:rPr>
          <w:rFonts w:hint="eastAsia" w:ascii="宋体" w:hAnsi="宋体" w:eastAsia="宋体"/>
          <w:color w:val="000000"/>
          <w:spacing w:val="0"/>
          <w:lang w:val="zh-TW"/>
        </w:rPr>
        <w:t>集中式饮用水水源水质状况</w:t>
      </w:r>
      <w:bookmarkEnd w:id="1"/>
    </w:p>
    <w:tbl>
      <w:tblPr>
        <w:tblStyle w:val="5"/>
        <w:tblW w:w="137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86"/>
        <w:gridCol w:w="1584"/>
        <w:gridCol w:w="1236"/>
        <w:gridCol w:w="2835"/>
        <w:gridCol w:w="2126"/>
        <w:gridCol w:w="1985"/>
        <w:gridCol w:w="2686"/>
      </w:tblGrid>
      <w:tr w14:paraId="2FF80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54" w:hRule="exact"/>
          <w:jc w:val="center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CA96AE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71A20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省份名称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B9C9FE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城市名称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EF5A4E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水源名称</w:t>
            </w:r>
          </w:p>
          <w:p w14:paraId="1D48F67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（监测点位）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0E3DB6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水源类型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3BF590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迖标情况</w:t>
            </w:r>
          </w:p>
        </w:tc>
        <w:tc>
          <w:tcPr>
            <w:tcW w:w="26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8BD1E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超标指标及超标倍数</w:t>
            </w:r>
          </w:p>
        </w:tc>
      </w:tr>
      <w:tr w14:paraId="04369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2" w:hRule="exact"/>
          <w:jc w:val="center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6C901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9A0FA1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河南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EB3229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襄城县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752DBA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第三水厂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E011E6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地表水（源水）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376C65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达标</w:t>
            </w:r>
          </w:p>
        </w:tc>
        <w:tc>
          <w:tcPr>
            <w:tcW w:w="2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F101E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无</w:t>
            </w:r>
          </w:p>
        </w:tc>
      </w:tr>
    </w:tbl>
    <w:p w14:paraId="4F83991D">
      <w:pPr>
        <w:pStyle w:val="7"/>
        <w:shd w:val="clear" w:color="auto" w:fill="auto"/>
        <w:spacing w:before="0" w:after="656" w:line="614" w:lineRule="exact"/>
        <w:ind w:left="20" w:right="320" w:firstLine="560"/>
        <w:jc w:val="both"/>
        <w:rPr>
          <w:rFonts w:ascii="宋体" w:hAnsi="宋体" w:eastAsia="宋体"/>
          <w:sz w:val="2"/>
          <w:szCs w:val="2"/>
        </w:rPr>
      </w:pPr>
    </w:p>
    <w:p w14:paraId="3D19EF67"/>
    <w:sectPr>
      <w:pgSz w:w="16838" w:h="11909" w:orient="landscape"/>
      <w:pgMar w:top="1435" w:right="1809" w:bottom="1463" w:left="1281" w:header="0" w:footer="6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309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060D50">
    <w:pPr>
      <w:rPr>
        <w:sz w:val="2"/>
        <w:szCs w:val="2"/>
      </w:rPr>
    </w:pPr>
    <w:r>
      <w:rPr>
        <w:rFonts w:ascii="Courier New" w:hAnsi="Courier New" w:eastAsia="宋体" w:cs="Courier New"/>
        <w:color w:val="000000"/>
        <w:sz w:val="24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4479925</wp:posOffset>
              </wp:positionH>
              <wp:positionV relativeFrom="page">
                <wp:posOffset>3121660</wp:posOffset>
              </wp:positionV>
              <wp:extent cx="12065" cy="5207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065" cy="52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686CB4">
                          <w:pPr>
                            <w:pStyle w:val="8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25"/>
                              <w:lang w:val="zh-TW"/>
                            </w:rPr>
                            <w:t>I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left:352.75pt;margin-top:245.8pt;height:4.1pt;width:0.9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CtBIUjYAAAACwEAAA8AAAAAAAAAAQAgAAAAIgAAAGRycy9kb3du&#10;cmV2LnhtbFBLAQIUABQAAAAIAIdO4kCD1kJPxgEAAIsDAAAOAAAAAAAAAAEAIAAAACc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F686CB4">
                    <w:pPr>
                      <w:pStyle w:val="8"/>
                      <w:shd w:val="clear" w:color="auto" w:fill="auto"/>
                      <w:spacing w:line="240" w:lineRule="auto"/>
                    </w:pPr>
                    <w:r>
                      <w:rPr>
                        <w:rStyle w:val="25"/>
                        <w:lang w:val="zh-TW"/>
                      </w:rPr>
                      <w:t>I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2E4A64"/>
    <w:rsid w:val="3E10510A"/>
    <w:rsid w:val="7C4110CD"/>
    <w:rsid w:val="7F004D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semiHidden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ourier New" w:hAnsi="Courier New" w:eastAsia="宋体" w:cs="Courier New"/>
      <w:color w:val="000000"/>
      <w:sz w:val="24"/>
      <w:szCs w:val="24"/>
      <w:lang w:val="zh-TW" w:eastAsia="zh-CN" w:bidi="ar-SA"/>
    </w:rPr>
  </w:style>
  <w:style w:type="paragraph" w:styleId="2">
    <w:name w:val="heading 5"/>
    <w:basedOn w:val="1"/>
    <w:next w:val="1"/>
    <w:link w:val="30"/>
    <w:unhideWhenUsed/>
    <w:qFormat/>
    <w:locked/>
    <w:uiPriority w:val="0"/>
    <w:pPr>
      <w:spacing w:beforeAutospacing="1" w:afterAutospacing="1"/>
      <w:outlineLvl w:val="4"/>
    </w:pPr>
    <w:rPr>
      <w:rFonts w:hint="eastAsia" w:ascii="宋体" w:hAnsi="宋体" w:cs="Times New Roman"/>
      <w:b/>
      <w:sz w:val="20"/>
      <w:szCs w:val="20"/>
      <w:lang w:val="en-US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2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文本3"/>
    <w:basedOn w:val="1"/>
    <w:link w:val="14"/>
    <w:qFormat/>
    <w:uiPriority w:val="99"/>
    <w:pPr>
      <w:shd w:val="clear" w:color="auto" w:fill="FFFFFF"/>
      <w:spacing w:before="1260" w:after="2700" w:line="240" w:lineRule="atLeast"/>
      <w:jc w:val="right"/>
    </w:pPr>
    <w:rPr>
      <w:rFonts w:ascii="MingLiU" w:hAnsi="MingLiU" w:eastAsia="MingLiU" w:cs="MingLiU"/>
      <w:color w:val="auto"/>
      <w:kern w:val="2"/>
      <w:sz w:val="29"/>
      <w:szCs w:val="29"/>
      <w:lang w:val="en-US"/>
    </w:rPr>
  </w:style>
  <w:style w:type="paragraph" w:customStyle="1" w:styleId="8">
    <w:name w:val="页眉或页脚"/>
    <w:basedOn w:val="1"/>
    <w:link w:val="16"/>
    <w:qFormat/>
    <w:uiPriority w:val="99"/>
    <w:pPr>
      <w:shd w:val="clear" w:color="auto" w:fill="FFFFFF"/>
      <w:spacing w:line="240" w:lineRule="atLeast"/>
    </w:pPr>
    <w:rPr>
      <w:rFonts w:ascii="宋体" w:hAnsi="宋体" w:cs="宋体"/>
      <w:color w:val="auto"/>
      <w:spacing w:val="60"/>
      <w:kern w:val="2"/>
      <w:sz w:val="19"/>
      <w:szCs w:val="19"/>
      <w:lang w:val="en-US"/>
    </w:rPr>
  </w:style>
  <w:style w:type="paragraph" w:customStyle="1" w:styleId="9">
    <w:name w:val="正文文本 (6)"/>
    <w:basedOn w:val="1"/>
    <w:link w:val="18"/>
    <w:qFormat/>
    <w:uiPriority w:val="99"/>
    <w:pPr>
      <w:shd w:val="clear" w:color="auto" w:fill="FFFFFF"/>
      <w:spacing w:line="610" w:lineRule="exact"/>
      <w:jc w:val="distribute"/>
    </w:pPr>
    <w:rPr>
      <w:rFonts w:ascii="MingLiU" w:hAnsi="MingLiU" w:eastAsia="MingLiU" w:cs="MingLiU"/>
      <w:b/>
      <w:bCs/>
      <w:color w:val="auto"/>
      <w:spacing w:val="-40"/>
      <w:kern w:val="2"/>
      <w:sz w:val="32"/>
      <w:szCs w:val="32"/>
      <w:lang w:val="en-US"/>
    </w:rPr>
  </w:style>
  <w:style w:type="paragraph" w:customStyle="1" w:styleId="10">
    <w:name w:val="正文文本 (7)"/>
    <w:basedOn w:val="1"/>
    <w:link w:val="20"/>
    <w:qFormat/>
    <w:uiPriority w:val="99"/>
    <w:pPr>
      <w:shd w:val="clear" w:color="auto" w:fill="FFFFFF"/>
      <w:spacing w:line="581" w:lineRule="exact"/>
      <w:ind w:firstLine="620"/>
      <w:jc w:val="distribute"/>
    </w:pPr>
    <w:rPr>
      <w:rFonts w:ascii="MingLiU" w:hAnsi="MingLiU" w:eastAsia="MingLiU" w:cs="MingLiU"/>
      <w:b/>
      <w:bCs/>
      <w:color w:val="auto"/>
      <w:spacing w:val="-40"/>
      <w:kern w:val="2"/>
      <w:sz w:val="32"/>
      <w:szCs w:val="32"/>
      <w:lang w:val="en-US"/>
    </w:rPr>
  </w:style>
  <w:style w:type="paragraph" w:customStyle="1" w:styleId="11">
    <w:name w:val="正文文本 (10)"/>
    <w:basedOn w:val="1"/>
    <w:link w:val="21"/>
    <w:qFormat/>
    <w:uiPriority w:val="99"/>
    <w:pPr>
      <w:shd w:val="clear" w:color="auto" w:fill="FFFFFF"/>
      <w:spacing w:after="120" w:line="586" w:lineRule="exact"/>
      <w:jc w:val="center"/>
    </w:pPr>
    <w:rPr>
      <w:rFonts w:ascii="MingLiU" w:hAnsi="MingLiU" w:eastAsia="MingLiU" w:cs="MingLiU"/>
      <w:color w:val="auto"/>
      <w:spacing w:val="-50"/>
      <w:kern w:val="2"/>
      <w:sz w:val="39"/>
      <w:szCs w:val="39"/>
      <w:lang w:val="en-US"/>
    </w:rPr>
  </w:style>
  <w:style w:type="paragraph" w:customStyle="1" w:styleId="12">
    <w:name w:val="正文文本 (11)"/>
    <w:basedOn w:val="1"/>
    <w:link w:val="24"/>
    <w:qFormat/>
    <w:uiPriority w:val="99"/>
    <w:pPr>
      <w:shd w:val="clear" w:color="auto" w:fill="FFFFFF"/>
      <w:spacing w:line="624" w:lineRule="exact"/>
      <w:ind w:firstLine="560"/>
      <w:jc w:val="distribute"/>
    </w:pPr>
    <w:rPr>
      <w:rFonts w:ascii="MingLiU" w:hAnsi="MingLiU" w:eastAsia="MingLiU" w:cs="MingLiU"/>
      <w:color w:val="auto"/>
      <w:spacing w:val="-40"/>
      <w:kern w:val="2"/>
      <w:sz w:val="33"/>
      <w:szCs w:val="33"/>
      <w:lang w:val="en-US"/>
    </w:rPr>
  </w:style>
  <w:style w:type="paragraph" w:customStyle="1" w:styleId="13">
    <w:name w:val="No Spacing"/>
    <w:qFormat/>
    <w:uiPriority w:val="99"/>
    <w:pPr>
      <w:widowControl w:val="0"/>
    </w:pPr>
    <w:rPr>
      <w:rFonts w:ascii="Courier New" w:hAnsi="Courier New" w:eastAsia="宋体" w:cs="Courier New"/>
      <w:color w:val="000000"/>
      <w:sz w:val="24"/>
      <w:szCs w:val="24"/>
      <w:lang w:val="zh-TW" w:eastAsia="zh-CN" w:bidi="ar-SA"/>
    </w:rPr>
  </w:style>
  <w:style w:type="character" w:customStyle="1" w:styleId="14">
    <w:name w:val="正文文本_"/>
    <w:basedOn w:val="6"/>
    <w:link w:val="7"/>
    <w:qFormat/>
    <w:locked/>
    <w:uiPriority w:val="99"/>
    <w:rPr>
      <w:rFonts w:ascii="MingLiU" w:hAnsi="MingLiU" w:eastAsia="MingLiU" w:cs="MingLiU"/>
      <w:sz w:val="29"/>
      <w:szCs w:val="29"/>
      <w:shd w:val="clear" w:color="auto" w:fill="FFFFFF"/>
    </w:rPr>
  </w:style>
  <w:style w:type="character" w:customStyle="1" w:styleId="15">
    <w:name w:val="正文文本 + SimSun"/>
    <w:basedOn w:val="14"/>
    <w:qFormat/>
    <w:uiPriority w:val="99"/>
    <w:rPr>
      <w:rFonts w:ascii="宋体" w:hAnsi="宋体" w:cs="宋体"/>
      <w:color w:val="000000"/>
      <w:spacing w:val="10"/>
      <w:w w:val="100"/>
      <w:position w:val="0"/>
      <w:sz w:val="27"/>
      <w:szCs w:val="27"/>
      <w:lang w:val="en-US"/>
    </w:rPr>
  </w:style>
  <w:style w:type="character" w:customStyle="1" w:styleId="16">
    <w:name w:val="页眉或页脚_"/>
    <w:basedOn w:val="6"/>
    <w:link w:val="8"/>
    <w:qFormat/>
    <w:locked/>
    <w:uiPriority w:val="99"/>
    <w:rPr>
      <w:rFonts w:ascii="宋体" w:hAnsi="宋体" w:cs="宋体"/>
      <w:spacing w:val="60"/>
      <w:sz w:val="19"/>
      <w:szCs w:val="19"/>
      <w:shd w:val="clear" w:color="auto" w:fill="FFFFFF"/>
    </w:rPr>
  </w:style>
  <w:style w:type="character" w:customStyle="1" w:styleId="17">
    <w:name w:val="正文文本 + 间距 3 pt"/>
    <w:basedOn w:val="14"/>
    <w:qFormat/>
    <w:uiPriority w:val="99"/>
    <w:rPr>
      <w:color w:val="000000"/>
      <w:spacing w:val="70"/>
      <w:w w:val="100"/>
      <w:position w:val="0"/>
      <w:lang w:val="zh-TW"/>
    </w:rPr>
  </w:style>
  <w:style w:type="character" w:customStyle="1" w:styleId="18">
    <w:name w:val="正文文本 (6)_"/>
    <w:basedOn w:val="6"/>
    <w:link w:val="9"/>
    <w:qFormat/>
    <w:locked/>
    <w:uiPriority w:val="99"/>
    <w:rPr>
      <w:rFonts w:ascii="MingLiU" w:hAnsi="MingLiU" w:eastAsia="MingLiU" w:cs="MingLiU"/>
      <w:b/>
      <w:bCs/>
      <w:spacing w:val="-40"/>
      <w:sz w:val="32"/>
      <w:szCs w:val="32"/>
      <w:shd w:val="clear" w:color="auto" w:fill="FFFFFF"/>
    </w:rPr>
  </w:style>
  <w:style w:type="character" w:customStyle="1" w:styleId="19">
    <w:name w:val="正文文本2"/>
    <w:basedOn w:val="14"/>
    <w:qFormat/>
    <w:uiPriority w:val="99"/>
    <w:rPr>
      <w:color w:val="000000"/>
      <w:spacing w:val="0"/>
      <w:w w:val="100"/>
      <w:position w:val="0"/>
      <w:lang w:val="zh-TW"/>
    </w:rPr>
  </w:style>
  <w:style w:type="character" w:customStyle="1" w:styleId="20">
    <w:name w:val="正文文本 (7)_"/>
    <w:basedOn w:val="6"/>
    <w:link w:val="10"/>
    <w:qFormat/>
    <w:locked/>
    <w:uiPriority w:val="99"/>
    <w:rPr>
      <w:rFonts w:ascii="MingLiU" w:hAnsi="MingLiU" w:eastAsia="MingLiU" w:cs="MingLiU"/>
      <w:b/>
      <w:bCs/>
      <w:spacing w:val="-40"/>
      <w:sz w:val="32"/>
      <w:szCs w:val="32"/>
      <w:shd w:val="clear" w:color="auto" w:fill="FFFFFF"/>
    </w:rPr>
  </w:style>
  <w:style w:type="character" w:customStyle="1" w:styleId="21">
    <w:name w:val="正文文本 (10)_"/>
    <w:basedOn w:val="6"/>
    <w:link w:val="11"/>
    <w:qFormat/>
    <w:locked/>
    <w:uiPriority w:val="99"/>
    <w:rPr>
      <w:rFonts w:ascii="MingLiU" w:hAnsi="MingLiU" w:eastAsia="MingLiU" w:cs="MingLiU"/>
      <w:spacing w:val="-50"/>
      <w:sz w:val="39"/>
      <w:szCs w:val="39"/>
      <w:shd w:val="clear" w:color="auto" w:fill="FFFFFF"/>
    </w:rPr>
  </w:style>
  <w:style w:type="character" w:customStyle="1" w:styleId="22">
    <w:name w:val="正文文本 (10) + 间距 2 pt"/>
    <w:basedOn w:val="21"/>
    <w:qFormat/>
    <w:uiPriority w:val="99"/>
    <w:rPr>
      <w:color w:val="000000"/>
      <w:spacing w:val="40"/>
      <w:w w:val="100"/>
      <w:position w:val="0"/>
      <w:lang w:val="zh-TW"/>
    </w:rPr>
  </w:style>
  <w:style w:type="character" w:customStyle="1" w:styleId="23">
    <w:name w:val="正文文本 + 间距 2 pt"/>
    <w:basedOn w:val="14"/>
    <w:qFormat/>
    <w:uiPriority w:val="99"/>
    <w:rPr>
      <w:color w:val="000000"/>
      <w:spacing w:val="40"/>
      <w:w w:val="100"/>
      <w:position w:val="0"/>
      <w:lang w:val="zh-TW"/>
    </w:rPr>
  </w:style>
  <w:style w:type="character" w:customStyle="1" w:styleId="24">
    <w:name w:val="正文文本 (11)_"/>
    <w:basedOn w:val="6"/>
    <w:link w:val="12"/>
    <w:qFormat/>
    <w:locked/>
    <w:uiPriority w:val="99"/>
    <w:rPr>
      <w:rFonts w:ascii="MingLiU" w:hAnsi="MingLiU" w:eastAsia="MingLiU" w:cs="MingLiU"/>
      <w:spacing w:val="-40"/>
      <w:sz w:val="33"/>
      <w:szCs w:val="33"/>
      <w:shd w:val="clear" w:color="auto" w:fill="FFFFFF"/>
    </w:rPr>
  </w:style>
  <w:style w:type="character" w:customStyle="1" w:styleId="25">
    <w:name w:val="页眉或页脚 + 间距 0 pt"/>
    <w:basedOn w:val="16"/>
    <w:qFormat/>
    <w:uiPriority w:val="99"/>
    <w:rPr>
      <w:color w:val="000000"/>
      <w:spacing w:val="-10"/>
      <w:w w:val="100"/>
      <w:position w:val="0"/>
    </w:rPr>
  </w:style>
  <w:style w:type="character" w:customStyle="1" w:styleId="26">
    <w:name w:val="正文文本 (10) + SimSun"/>
    <w:basedOn w:val="21"/>
    <w:qFormat/>
    <w:uiPriority w:val="99"/>
    <w:rPr>
      <w:rFonts w:ascii="宋体" w:hAnsi="宋体" w:cs="宋体"/>
      <w:color w:val="000000"/>
      <w:w w:val="100"/>
      <w:position w:val="0"/>
      <w:sz w:val="44"/>
      <w:szCs w:val="44"/>
      <w:lang w:val="zh-TW"/>
    </w:rPr>
  </w:style>
  <w:style w:type="character" w:customStyle="1" w:styleId="27">
    <w:name w:val="正文文本 + SimHei"/>
    <w:basedOn w:val="14"/>
    <w:qFormat/>
    <w:uiPriority w:val="99"/>
    <w:rPr>
      <w:rFonts w:ascii="黑体" w:hAnsi="黑体" w:cs="黑体"/>
      <w:color w:val="000000"/>
      <w:spacing w:val="0"/>
      <w:w w:val="100"/>
      <w:position w:val="0"/>
      <w:sz w:val="8"/>
      <w:szCs w:val="8"/>
      <w:lang w:val="en-US"/>
    </w:rPr>
  </w:style>
  <w:style w:type="character" w:customStyle="1" w:styleId="28">
    <w:name w:val="页眉 Char Char"/>
    <w:basedOn w:val="6"/>
    <w:link w:val="4"/>
    <w:qFormat/>
    <w:uiPriority w:val="99"/>
    <w:rPr>
      <w:rFonts w:ascii="Courier New" w:hAnsi="Courier New" w:cs="Courier New"/>
      <w:color w:val="000000"/>
      <w:sz w:val="18"/>
      <w:szCs w:val="18"/>
      <w:lang w:val="zh-TW"/>
    </w:rPr>
  </w:style>
  <w:style w:type="character" w:customStyle="1" w:styleId="29">
    <w:name w:val="页脚 Char Char"/>
    <w:basedOn w:val="6"/>
    <w:link w:val="3"/>
    <w:qFormat/>
    <w:uiPriority w:val="99"/>
    <w:rPr>
      <w:rFonts w:ascii="Courier New" w:hAnsi="Courier New" w:cs="Courier New"/>
      <w:color w:val="000000"/>
      <w:sz w:val="18"/>
      <w:szCs w:val="18"/>
      <w:lang w:val="zh-TW"/>
    </w:rPr>
  </w:style>
  <w:style w:type="character" w:customStyle="1" w:styleId="30">
    <w:name w:val="标题 5 Char Char"/>
    <w:basedOn w:val="6"/>
    <w:link w:val="2"/>
    <w:qFormat/>
    <w:uiPriority w:val="0"/>
    <w:rPr>
      <w:rFonts w:ascii="宋体" w:hAnsi="宋体"/>
      <w:b/>
      <w:color w:val="000000"/>
    </w:rPr>
  </w:style>
  <w:style w:type="character" w:customStyle="1" w:styleId="31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339</Words>
  <Characters>386</Characters>
  <Lines>6</Lines>
  <Paragraphs>1</Paragraphs>
  <TotalTime>2</TotalTime>
  <ScaleCrop>false</ScaleCrop>
  <LinksUpToDate>false</LinksUpToDate>
  <CharactersWithSpaces>386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2018-11-07T00:28:00Z</dcterms:created>
  <dc:creator>Administrator</dc:creator>
  <cp:lastModifiedBy>东东</cp:lastModifiedBy>
  <cp:lastPrinted>2022-08-09T01:23:00Z</cp:lastPrinted>
  <dcterms:modified xsi:type="dcterms:W3CDTF">2025-04-28T09:18:17Z</dcterms:modified>
  <dc:title>2016年6月许昌市城市集中式饮用水水源水质状况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177B801181C3464CA12DFF6E7F145E8B_13</vt:lpwstr>
  </property>
  <property fmtid="{D5CDD505-2E9C-101B-9397-08002B2CF9AE}" pid="4" name="KSOTemplateDocerSaveRecord">
    <vt:lpwstr>eyJoZGlkIjoiZDRhOTRiYjM4MmVjY2FiYzg1MDQ1NTFmNzk1M2Y3NWYiLCJ1c2VySWQiOiIzMDkzMzg1MzgifQ==</vt:lpwstr>
  </property>
</Properties>
</file>