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B7BB71">
      <w:pPr>
        <w:pStyle w:val="13"/>
        <w:jc w:val="center"/>
        <w:rPr>
          <w:rFonts w:ascii="宋体" w:hAnsi="宋体" w:cs="宋体"/>
          <w:b/>
          <w:sz w:val="36"/>
          <w:szCs w:val="36"/>
        </w:rPr>
      </w:pPr>
      <w:bookmarkStart w:id="0" w:name="bookmark3"/>
    </w:p>
    <w:p w14:paraId="416909ED">
      <w:pPr>
        <w:pStyle w:val="13"/>
        <w:jc w:val="center"/>
        <w:rPr>
          <w:rStyle w:val="22"/>
          <w:rFonts w:hint="eastAsia" w:ascii="宋体" w:hAnsi="宋体" w:eastAsia="宋体"/>
          <w:b/>
          <w:spacing w:val="0"/>
          <w:sz w:val="44"/>
          <w:szCs w:val="44"/>
        </w:rPr>
      </w:pPr>
      <w:r>
        <w:rPr>
          <w:rFonts w:hint="eastAsia" w:ascii="宋体" w:hAnsi="宋体" w:cs="宋体"/>
          <w:b/>
          <w:sz w:val="44"/>
          <w:szCs w:val="44"/>
        </w:rPr>
        <w:t>襄城县集中式生活饮用水</w:t>
      </w:r>
      <w:r>
        <w:rPr>
          <w:rStyle w:val="22"/>
          <w:rFonts w:hint="eastAsia" w:ascii="宋体" w:hAnsi="宋体" w:eastAsia="宋体"/>
          <w:b/>
          <w:spacing w:val="0"/>
          <w:sz w:val="44"/>
          <w:szCs w:val="44"/>
        </w:rPr>
        <w:t>水源水质状况报告</w:t>
      </w:r>
      <w:bookmarkEnd w:id="0"/>
    </w:p>
    <w:p w14:paraId="197F55B1">
      <w:pPr>
        <w:pStyle w:val="13"/>
        <w:jc w:val="center"/>
        <w:rPr>
          <w:rFonts w:hint="eastAsia" w:ascii="宋体" w:hAnsi="宋体" w:eastAsia="宋体"/>
          <w:color w:val="000000"/>
          <w:sz w:val="32"/>
          <w:szCs w:val="32"/>
        </w:rPr>
      </w:pPr>
      <w:r>
        <w:rPr>
          <w:rFonts w:ascii="宋体" w:hAnsi="宋体" w:eastAsia="宋体"/>
          <w:color w:val="000000"/>
          <w:sz w:val="32"/>
          <w:szCs w:val="32"/>
          <w:lang w:val="zh-TW" w:eastAsia="zh-TW"/>
        </w:rPr>
        <w:t>(</w:t>
      </w:r>
      <w:r>
        <w:rPr>
          <w:rFonts w:ascii="宋体" w:hAnsi="宋体" w:eastAsia="宋体"/>
          <w:sz w:val="32"/>
          <w:szCs w:val="32"/>
        </w:rPr>
        <w:t>20</w:t>
      </w:r>
      <w:r>
        <w:rPr>
          <w:rFonts w:hint="eastAsia" w:ascii="宋体" w:hAnsi="宋体" w:eastAsia="宋体"/>
          <w:sz w:val="32"/>
          <w:szCs w:val="32"/>
          <w:lang w:val="en-US" w:eastAsia="zh-CN"/>
        </w:rPr>
        <w:t>2</w:t>
      </w:r>
      <w:r>
        <w:rPr>
          <w:rFonts w:hint="eastAsia" w:ascii="宋体" w:hAnsi="宋体"/>
          <w:sz w:val="32"/>
          <w:szCs w:val="32"/>
          <w:lang w:val="en-US" w:eastAsia="zh-CN"/>
        </w:rPr>
        <w:t>6</w:t>
      </w:r>
      <w:r>
        <w:rPr>
          <w:rFonts w:hint="eastAsia" w:ascii="宋体" w:hAnsi="宋体" w:eastAsia="宋体"/>
          <w:sz w:val="32"/>
          <w:szCs w:val="32"/>
        </w:rPr>
        <w:t>年</w:t>
      </w:r>
      <w:r>
        <w:rPr>
          <w:rFonts w:hint="eastAsia" w:ascii="宋体" w:hAnsi="宋体"/>
          <w:sz w:val="32"/>
          <w:szCs w:val="32"/>
          <w:lang w:val="en-US" w:eastAsia="zh-CN"/>
        </w:rPr>
        <w:t>第二季度</w:t>
      </w:r>
      <w:r>
        <w:rPr>
          <w:rFonts w:hint="eastAsia" w:ascii="宋体" w:hAnsi="宋体" w:eastAsia="宋体"/>
          <w:color w:val="000000"/>
          <w:sz w:val="32"/>
          <w:szCs w:val="32"/>
        </w:rPr>
        <w:t>）</w:t>
      </w:r>
    </w:p>
    <w:p w14:paraId="1879D8A8">
      <w:pPr>
        <w:pStyle w:val="9"/>
        <w:keepNext w:val="0"/>
        <w:keepLines w:val="0"/>
        <w:pageBreakBefore w:val="0"/>
        <w:widowControl w:val="0"/>
        <w:shd w:val="clear" w:color="auto" w:fill="auto"/>
        <w:tabs>
          <w:tab w:val="left" w:pos="120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ascii="宋体" w:hAnsi="宋体" w:eastAsia="宋体"/>
          <w:spacing w:val="0"/>
        </w:rPr>
      </w:pPr>
      <w:r>
        <w:rPr>
          <w:rFonts w:hint="eastAsia" w:ascii="宋体" w:hAnsi="宋体" w:eastAsia="宋体"/>
          <w:color w:val="000000"/>
          <w:spacing w:val="0"/>
          <w:lang w:val="zh-TW"/>
        </w:rPr>
        <w:t>一、监测情况</w:t>
      </w:r>
    </w:p>
    <w:p w14:paraId="103BD81C">
      <w:pPr>
        <w:pStyle w:val="10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40" w:firstLine="640" w:firstLineChars="200"/>
        <w:jc w:val="both"/>
        <w:textAlignment w:val="auto"/>
        <w:rPr>
          <w:rStyle w:val="31"/>
          <w:rFonts w:hint="eastAsia" w:ascii="仿宋" w:hAnsi="仿宋" w:eastAsia="仿宋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Style w:val="31"/>
          <w:rFonts w:hint="eastAsia" w:ascii="仿宋" w:hAnsi="仿宋" w:eastAsia="仿宋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  <w:t>按照《2026年许昌市生态环境监测方案的通知》要求，许昌市生态环境局襄城分局按照环境监测技术规范要求，安排人员对</w:t>
      </w:r>
    </w:p>
    <w:p w14:paraId="56743EAA">
      <w:pPr>
        <w:pStyle w:val="10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left"/>
        <w:textAlignment w:val="auto"/>
        <w:rPr>
          <w:rStyle w:val="31"/>
          <w:rFonts w:hint="default" w:ascii="仿宋" w:hAnsi="仿宋" w:eastAsia="仿宋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Style w:val="31"/>
          <w:rFonts w:hint="eastAsia" w:ascii="仿宋" w:hAnsi="仿宋" w:eastAsia="仿宋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  <w:t>我县城市集中式饮用水水源第三水厂、备用水源第二水厂开展采样监测。</w:t>
      </w:r>
    </w:p>
    <w:p w14:paraId="4D438CCE">
      <w:pPr>
        <w:pStyle w:val="10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40" w:firstLine="640" w:firstLineChars="200"/>
        <w:jc w:val="both"/>
        <w:textAlignment w:val="auto"/>
        <w:rPr>
          <w:rFonts w:ascii="宋体" w:hAnsi="宋体" w:eastAsia="宋体"/>
          <w:spacing w:val="0"/>
        </w:rPr>
      </w:pPr>
      <w:r>
        <w:rPr>
          <w:rStyle w:val="15"/>
          <w:rFonts w:hint="eastAsia" w:eastAsia="宋体"/>
          <w:b w:val="0"/>
          <w:bCs w:val="0"/>
          <w:spacing w:val="0"/>
          <w:sz w:val="32"/>
          <w:szCs w:val="32"/>
        </w:rPr>
        <w:t>（1）</w:t>
      </w:r>
      <w:r>
        <w:rPr>
          <w:rFonts w:hint="eastAsia" w:ascii="宋体" w:hAnsi="宋体" w:eastAsia="宋体"/>
          <w:color w:val="000000"/>
          <w:spacing w:val="0"/>
          <w:lang w:val="zh-TW"/>
        </w:rPr>
        <w:t>监测点位</w:t>
      </w:r>
    </w:p>
    <w:p w14:paraId="5D09A80C">
      <w:pPr>
        <w:pStyle w:val="10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40" w:firstLine="640" w:firstLineChars="200"/>
        <w:jc w:val="both"/>
        <w:textAlignment w:val="auto"/>
        <w:rPr>
          <w:rStyle w:val="31"/>
          <w:rFonts w:hint="eastAsia" w:ascii="仿宋" w:hAnsi="仿宋" w:eastAsia="仿宋" w:cs="Times New Roman"/>
          <w:b w:val="0"/>
          <w:i w:val="0"/>
          <w:caps w:val="0"/>
          <w:spacing w:val="0"/>
          <w:w w:val="100"/>
          <w:kern w:val="2"/>
          <w:sz w:val="32"/>
          <w:szCs w:val="32"/>
          <w:lang w:val="zh-TW" w:eastAsia="zh-CN" w:bidi="ar-SA"/>
        </w:rPr>
      </w:pPr>
      <w:r>
        <w:rPr>
          <w:rStyle w:val="31"/>
          <w:rFonts w:hint="eastAsia" w:ascii="仿宋" w:hAnsi="仿宋" w:eastAsia="仿宋" w:cs="Times New Roman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  <w:t>第三水厂配水井</w:t>
      </w:r>
      <w:r>
        <w:rPr>
          <w:rStyle w:val="31"/>
          <w:rFonts w:hint="eastAsia" w:ascii="仿宋" w:hAnsi="仿宋" w:eastAsia="仿宋" w:cs="Times New Roman"/>
          <w:b w:val="0"/>
          <w:i w:val="0"/>
          <w:caps w:val="0"/>
          <w:spacing w:val="0"/>
          <w:w w:val="100"/>
          <w:kern w:val="2"/>
          <w:sz w:val="32"/>
          <w:szCs w:val="32"/>
          <w:lang w:val="zh-TW" w:eastAsia="zh-CN" w:bidi="ar-SA"/>
        </w:rPr>
        <w:t>水源：具备</w:t>
      </w:r>
      <w:r>
        <w:rPr>
          <w:rStyle w:val="31"/>
          <w:rFonts w:hint="eastAsia" w:ascii="仿宋" w:hAnsi="仿宋" w:eastAsia="仿宋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  <w:t>采样</w:t>
      </w:r>
      <w:r>
        <w:rPr>
          <w:rStyle w:val="31"/>
          <w:rFonts w:hint="eastAsia" w:ascii="仿宋" w:hAnsi="仿宋" w:eastAsia="仿宋" w:cs="Times New Roman"/>
          <w:b w:val="0"/>
          <w:i w:val="0"/>
          <w:caps w:val="0"/>
          <w:spacing w:val="0"/>
          <w:w w:val="100"/>
          <w:kern w:val="2"/>
          <w:sz w:val="32"/>
          <w:szCs w:val="32"/>
          <w:lang w:val="zh-TW" w:eastAsia="zh-CN" w:bidi="ar-SA"/>
        </w:rPr>
        <w:t>条件，在配水井处</w:t>
      </w:r>
      <w:r>
        <w:rPr>
          <w:rStyle w:val="31"/>
          <w:rFonts w:hint="eastAsia" w:ascii="仿宋" w:hAnsi="仿宋" w:eastAsia="仿宋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  <w:t>采样</w:t>
      </w:r>
      <w:r>
        <w:rPr>
          <w:rStyle w:val="31"/>
          <w:rFonts w:hint="eastAsia" w:ascii="仿宋" w:hAnsi="仿宋" w:eastAsia="仿宋" w:cs="Times New Roman"/>
          <w:b w:val="0"/>
          <w:i w:val="0"/>
          <w:caps w:val="0"/>
          <w:spacing w:val="0"/>
          <w:w w:val="100"/>
          <w:kern w:val="2"/>
          <w:sz w:val="32"/>
          <w:szCs w:val="32"/>
          <w:lang w:val="zh-TW" w:eastAsia="zh-CN" w:bidi="ar-SA"/>
        </w:rPr>
        <w:t>；</w:t>
      </w:r>
    </w:p>
    <w:p w14:paraId="00D91C52">
      <w:pPr>
        <w:pStyle w:val="10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40" w:firstLine="640" w:firstLineChars="200"/>
        <w:jc w:val="both"/>
        <w:textAlignment w:val="auto"/>
        <w:rPr>
          <w:rStyle w:val="31"/>
          <w:rFonts w:hint="eastAsia" w:ascii="仿宋" w:hAnsi="仿宋" w:eastAsia="仿宋" w:cs="Times New Roman"/>
          <w:b w:val="0"/>
          <w:i w:val="0"/>
          <w:caps w:val="0"/>
          <w:spacing w:val="0"/>
          <w:w w:val="100"/>
          <w:kern w:val="2"/>
          <w:sz w:val="32"/>
          <w:szCs w:val="32"/>
          <w:lang w:val="zh-TW" w:eastAsia="zh-CN" w:bidi="ar-SA"/>
        </w:rPr>
      </w:pPr>
      <w:r>
        <w:rPr>
          <w:rStyle w:val="31"/>
          <w:rFonts w:hint="eastAsia" w:ascii="仿宋" w:hAnsi="仿宋" w:eastAsia="仿宋" w:cs="Times New Roman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  <w:t>襄城县第二水厂备用水源：</w:t>
      </w:r>
      <w:r>
        <w:rPr>
          <w:rStyle w:val="31"/>
          <w:rFonts w:hint="eastAsia" w:ascii="仿宋" w:hAnsi="仿宋" w:eastAsia="仿宋" w:cs="Times New Roman"/>
          <w:b w:val="0"/>
          <w:i w:val="0"/>
          <w:caps w:val="0"/>
          <w:spacing w:val="0"/>
          <w:w w:val="100"/>
          <w:kern w:val="2"/>
          <w:sz w:val="32"/>
          <w:szCs w:val="32"/>
          <w:lang w:val="zh-TW" w:eastAsia="zh-CN" w:bidi="ar-SA"/>
        </w:rPr>
        <w:t>具备</w:t>
      </w:r>
      <w:r>
        <w:rPr>
          <w:rStyle w:val="31"/>
          <w:rFonts w:hint="eastAsia" w:ascii="仿宋" w:hAnsi="仿宋" w:eastAsia="仿宋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  <w:t>采样</w:t>
      </w:r>
      <w:r>
        <w:rPr>
          <w:rStyle w:val="31"/>
          <w:rFonts w:hint="eastAsia" w:ascii="仿宋" w:hAnsi="仿宋" w:eastAsia="仿宋" w:cs="Times New Roman"/>
          <w:b w:val="0"/>
          <w:i w:val="0"/>
          <w:caps w:val="0"/>
          <w:spacing w:val="0"/>
          <w:w w:val="100"/>
          <w:kern w:val="2"/>
          <w:sz w:val="32"/>
          <w:szCs w:val="32"/>
          <w:lang w:val="zh-TW" w:eastAsia="zh-CN" w:bidi="ar-SA"/>
        </w:rPr>
        <w:t>条件，在</w:t>
      </w:r>
      <w:r>
        <w:rPr>
          <w:rStyle w:val="31"/>
          <w:rFonts w:hint="eastAsia" w:ascii="仿宋" w:hAnsi="仿宋" w:eastAsia="仿宋" w:cs="Times New Roman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  <w:t>抽水</w:t>
      </w:r>
      <w:r>
        <w:rPr>
          <w:rStyle w:val="31"/>
          <w:rFonts w:hint="eastAsia" w:ascii="仿宋" w:hAnsi="仿宋" w:eastAsia="仿宋" w:cs="Times New Roman"/>
          <w:b w:val="0"/>
          <w:i w:val="0"/>
          <w:caps w:val="0"/>
          <w:spacing w:val="0"/>
          <w:w w:val="100"/>
          <w:kern w:val="2"/>
          <w:sz w:val="32"/>
          <w:szCs w:val="32"/>
          <w:lang w:val="zh-TW" w:eastAsia="zh-CN" w:bidi="ar-SA"/>
        </w:rPr>
        <w:t>井处</w:t>
      </w:r>
      <w:r>
        <w:rPr>
          <w:rStyle w:val="31"/>
          <w:rFonts w:hint="eastAsia" w:ascii="仿宋" w:hAnsi="仿宋" w:eastAsia="仿宋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  <w:t>采样</w:t>
      </w:r>
      <w:r>
        <w:rPr>
          <w:rStyle w:val="31"/>
          <w:rFonts w:hint="eastAsia" w:ascii="仿宋" w:hAnsi="仿宋" w:eastAsia="仿宋" w:cs="Times New Roman"/>
          <w:b w:val="0"/>
          <w:i w:val="0"/>
          <w:caps w:val="0"/>
          <w:spacing w:val="0"/>
          <w:w w:val="100"/>
          <w:kern w:val="2"/>
          <w:sz w:val="32"/>
          <w:szCs w:val="32"/>
          <w:lang w:val="zh-TW" w:eastAsia="zh-CN" w:bidi="ar-SA"/>
        </w:rPr>
        <w:t>。</w:t>
      </w:r>
    </w:p>
    <w:p w14:paraId="039021F2">
      <w:pPr>
        <w:pStyle w:val="7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40" w:firstLine="620"/>
        <w:jc w:val="both"/>
        <w:textAlignment w:val="auto"/>
        <w:rPr>
          <w:rFonts w:ascii="宋体" w:hAnsi="宋体" w:eastAsia="宋体"/>
          <w:b/>
          <w:sz w:val="32"/>
          <w:szCs w:val="32"/>
        </w:rPr>
      </w:pPr>
      <w:r>
        <w:rPr>
          <w:rStyle w:val="15"/>
          <w:rFonts w:hint="eastAsia" w:eastAsia="宋体"/>
          <w:b/>
          <w:spacing w:val="0"/>
          <w:sz w:val="32"/>
          <w:szCs w:val="32"/>
        </w:rPr>
        <w:t>（2）</w:t>
      </w:r>
      <w:r>
        <w:rPr>
          <w:rFonts w:hint="eastAsia" w:ascii="宋体" w:hAnsi="宋体" w:eastAsia="宋体"/>
          <w:b/>
          <w:color w:val="000000"/>
          <w:sz w:val="32"/>
          <w:szCs w:val="32"/>
          <w:lang w:val="zh-TW"/>
        </w:rPr>
        <w:t>监测项目</w:t>
      </w:r>
    </w:p>
    <w:p w14:paraId="1263912C">
      <w:pPr>
        <w:pStyle w:val="10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40" w:firstLine="640" w:firstLineChars="200"/>
        <w:jc w:val="both"/>
        <w:textAlignment w:val="auto"/>
        <w:rPr>
          <w:rStyle w:val="31"/>
          <w:rFonts w:hint="eastAsia" w:ascii="仿宋" w:hAnsi="仿宋" w:eastAsia="仿宋" w:cs="Times New Roman"/>
          <w:b w:val="0"/>
          <w:i w:val="0"/>
          <w:caps w:val="0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</w:pPr>
      <w:r>
        <w:rPr>
          <w:rStyle w:val="31"/>
          <w:rFonts w:hint="eastAsia" w:ascii="仿宋" w:hAnsi="仿宋" w:eastAsia="仿宋" w:cs="Times New Roman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  <w:t>1、地表水水源：监测项目为《地表水环境质量标准》（GB3828-2002)109</w:t>
      </w:r>
      <w:r>
        <w:rPr>
          <w:rStyle w:val="31"/>
          <w:rFonts w:hint="eastAsia" w:ascii="仿宋" w:hAnsi="仿宋" w:eastAsia="仿宋" w:cs="Times New Roman"/>
          <w:b w:val="0"/>
          <w:i w:val="0"/>
          <w:caps w:val="0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  <w:t>项监测因子。</w:t>
      </w:r>
    </w:p>
    <w:p w14:paraId="16E7CD60">
      <w:pPr>
        <w:pStyle w:val="10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40" w:firstLine="640" w:firstLineChars="200"/>
        <w:jc w:val="both"/>
        <w:textAlignment w:val="auto"/>
        <w:rPr>
          <w:rStyle w:val="31"/>
          <w:rFonts w:hint="default" w:ascii="仿宋" w:hAnsi="仿宋" w:eastAsia="仿宋" w:cs="Times New Roman"/>
          <w:b w:val="0"/>
          <w:i w:val="0"/>
          <w:caps w:val="0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</w:pPr>
      <w:r>
        <w:rPr>
          <w:rStyle w:val="31"/>
          <w:rFonts w:hint="eastAsia" w:ascii="仿宋" w:hAnsi="仿宋" w:eastAsia="仿宋" w:cs="Times New Roman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  <w:t>2、地下水水源：监测项目为《地下水质量标准》(GB/14848-2017</w:t>
      </w:r>
      <w:r>
        <w:rPr>
          <w:rStyle w:val="31"/>
          <w:rFonts w:hint="eastAsia" w:ascii="仿宋" w:hAnsi="仿宋" w:eastAsia="仿宋" w:cs="Times New Roman"/>
          <w:b w:val="0"/>
          <w:i w:val="0"/>
          <w:caps w:val="0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  <w:t>)93</w:t>
      </w:r>
      <w:r>
        <w:rPr>
          <w:rStyle w:val="31"/>
          <w:rFonts w:hint="eastAsia" w:ascii="仿宋" w:hAnsi="仿宋" w:eastAsia="仿宋" w:cs="Times New Roman"/>
          <w:b w:val="0"/>
          <w:i w:val="0"/>
          <w:caps w:val="0"/>
          <w:spacing w:val="0"/>
          <w:w w:val="100"/>
          <w:kern w:val="2"/>
          <w:sz w:val="32"/>
          <w:szCs w:val="32"/>
          <w:highlight w:val="none"/>
          <w:lang w:val="zh-TW" w:eastAsia="zh-CN" w:bidi="ar-SA"/>
        </w:rPr>
        <w:t>项</w:t>
      </w:r>
      <w:r>
        <w:rPr>
          <w:rStyle w:val="31"/>
          <w:rFonts w:hint="eastAsia" w:ascii="仿宋" w:hAnsi="仿宋" w:eastAsia="仿宋" w:cs="Times New Roman"/>
          <w:b w:val="0"/>
          <w:i w:val="0"/>
          <w:caps w:val="0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  <w:t>监测因子。</w:t>
      </w:r>
    </w:p>
    <w:p w14:paraId="0796E353">
      <w:pPr>
        <w:pStyle w:val="7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40" w:firstLine="620"/>
        <w:jc w:val="both"/>
        <w:textAlignment w:val="auto"/>
        <w:rPr>
          <w:rStyle w:val="15"/>
          <w:rFonts w:hint="eastAsia" w:eastAsia="宋体"/>
          <w:b/>
          <w:spacing w:val="0"/>
          <w:sz w:val="32"/>
          <w:szCs w:val="32"/>
          <w:lang w:val="en-US" w:eastAsia="zh-CN"/>
        </w:rPr>
      </w:pPr>
      <w:r>
        <w:rPr>
          <w:rStyle w:val="15"/>
          <w:rFonts w:hint="eastAsia" w:eastAsia="宋体"/>
          <w:b/>
          <w:spacing w:val="0"/>
          <w:sz w:val="32"/>
          <w:szCs w:val="32"/>
          <w:lang w:val="zh-TW" w:eastAsia="zh-CN"/>
        </w:rPr>
        <w:t>二、评价标准及方法</w:t>
      </w:r>
    </w:p>
    <w:p w14:paraId="26C40B46">
      <w:pPr>
        <w:pStyle w:val="10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40" w:firstLine="640" w:firstLineChars="200"/>
        <w:jc w:val="both"/>
        <w:textAlignment w:val="auto"/>
        <w:rPr>
          <w:rStyle w:val="31"/>
          <w:rFonts w:hint="eastAsia" w:ascii="仿宋" w:hAnsi="仿宋" w:eastAsia="仿宋" w:cs="Times New Roman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TW" w:bidi="ar-SA"/>
        </w:rPr>
      </w:pPr>
      <w:r>
        <w:rPr>
          <w:rStyle w:val="31"/>
          <w:rFonts w:hint="eastAsia" w:ascii="仿宋" w:hAnsi="仿宋" w:eastAsia="仿宋" w:cs="Times New Roman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  <w:t>第三水厂水源根据《地表水环境质量标准》（GB3828-2002)采用单因子评价法进行评价；第二水厂备用水源根据《地下水质量标准》(GB/T14848-2017)采用单因子评价法进行评价。</w:t>
      </w:r>
    </w:p>
    <w:p w14:paraId="38CA0CC9">
      <w:pPr>
        <w:pStyle w:val="9"/>
        <w:keepNext w:val="0"/>
        <w:keepLines w:val="0"/>
        <w:pageBreakBefore w:val="0"/>
        <w:widowControl w:val="0"/>
        <w:shd w:val="clear" w:color="auto" w:fill="auto"/>
        <w:tabs>
          <w:tab w:val="left" w:pos="547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ascii="宋体" w:hAnsi="宋体" w:eastAsia="宋体" w:cs="Times New Roman"/>
          <w:spacing w:val="0"/>
        </w:rPr>
      </w:pPr>
      <w:r>
        <w:rPr>
          <w:rFonts w:hint="eastAsia" w:ascii="宋体" w:hAnsi="宋体" w:eastAsia="宋体"/>
          <w:color w:val="000000"/>
          <w:spacing w:val="0"/>
          <w:lang w:val="zh-TW"/>
        </w:rPr>
        <w:t>三、评价结果</w:t>
      </w:r>
    </w:p>
    <w:p w14:paraId="571B0597">
      <w:pPr>
        <w:pStyle w:val="12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ascii="宋体" w:hAnsi="宋体" w:eastAsia="宋体"/>
          <w:b/>
          <w:spacing w:val="0"/>
          <w:sz w:val="32"/>
          <w:szCs w:val="32"/>
        </w:rPr>
      </w:pPr>
      <w:r>
        <w:rPr>
          <w:rStyle w:val="15"/>
          <w:rFonts w:hint="eastAsia" w:eastAsia="宋体"/>
          <w:b/>
          <w:spacing w:val="0"/>
          <w:sz w:val="32"/>
          <w:szCs w:val="32"/>
        </w:rPr>
        <w:t>（1）</w:t>
      </w:r>
      <w:r>
        <w:rPr>
          <w:rFonts w:hint="eastAsia" w:ascii="宋体" w:hAnsi="宋体" w:eastAsia="宋体"/>
          <w:b/>
          <w:color w:val="000000"/>
          <w:spacing w:val="0"/>
          <w:sz w:val="32"/>
          <w:szCs w:val="32"/>
          <w:lang w:val="zh-TW"/>
        </w:rPr>
        <w:t>总体情况</w:t>
      </w:r>
    </w:p>
    <w:p w14:paraId="2090220D">
      <w:pPr>
        <w:pStyle w:val="10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40" w:firstLine="640" w:firstLineChars="200"/>
        <w:jc w:val="both"/>
        <w:textAlignment w:val="auto"/>
        <w:rPr>
          <w:rStyle w:val="31"/>
          <w:rFonts w:hint="eastAsia" w:ascii="仿宋" w:hAnsi="仿宋" w:eastAsia="仿宋" w:cs="Times New Roman"/>
          <w:b w:val="0"/>
          <w:i w:val="0"/>
          <w:caps w:val="0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</w:pPr>
      <w:r>
        <w:rPr>
          <w:rStyle w:val="31"/>
          <w:rFonts w:hint="eastAsia" w:ascii="仿宋" w:hAnsi="仿宋" w:eastAsia="仿宋" w:cs="Times New Roman"/>
          <w:b w:val="0"/>
          <w:i w:val="0"/>
          <w:caps w:val="0"/>
          <w:spacing w:val="0"/>
          <w:w w:val="100"/>
          <w:kern w:val="2"/>
          <w:sz w:val="32"/>
          <w:szCs w:val="32"/>
          <w:lang w:val="zh-TW" w:eastAsia="zh-CN" w:bidi="ar-SA"/>
        </w:rPr>
        <w:t>在用集中式饮用水水源</w:t>
      </w:r>
      <w:r>
        <w:rPr>
          <w:rStyle w:val="31"/>
          <w:rFonts w:hint="eastAsia" w:ascii="仿宋" w:hAnsi="仿宋" w:eastAsia="仿宋" w:cs="Times New Roman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  <w:t>第三水厂源水109</w:t>
      </w:r>
      <w:r>
        <w:rPr>
          <w:rStyle w:val="31"/>
          <w:rFonts w:hint="eastAsia" w:ascii="仿宋" w:hAnsi="仿宋" w:eastAsia="仿宋" w:cs="Times New Roman"/>
          <w:b w:val="0"/>
          <w:i w:val="0"/>
          <w:caps w:val="0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  <w:t>项</w:t>
      </w:r>
      <w:r>
        <w:rPr>
          <w:rStyle w:val="31"/>
          <w:rFonts w:hint="eastAsia" w:ascii="仿宋" w:hAnsi="仿宋" w:eastAsia="仿宋" w:cs="Times New Roman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  <w:t>监测因子全部达标</w:t>
      </w:r>
      <w:r>
        <w:rPr>
          <w:rStyle w:val="31"/>
          <w:rFonts w:hint="eastAsia" w:ascii="仿宋" w:hAnsi="仿宋" w:eastAsia="仿宋" w:cs="Times New Roman"/>
          <w:b w:val="0"/>
          <w:i w:val="0"/>
          <w:caps w:val="0"/>
          <w:spacing w:val="0"/>
          <w:w w:val="100"/>
          <w:kern w:val="2"/>
          <w:sz w:val="32"/>
          <w:szCs w:val="32"/>
          <w:lang w:val="zh-TW" w:eastAsia="zh-CN" w:bidi="ar-SA"/>
        </w:rPr>
        <w:t>，备用集中式饮用水水源</w:t>
      </w:r>
      <w:r>
        <w:rPr>
          <w:rStyle w:val="31"/>
          <w:rFonts w:hint="eastAsia" w:ascii="仿宋" w:hAnsi="仿宋" w:eastAsia="仿宋" w:cs="Times New Roman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  <w:t>第二水厂源水</w:t>
      </w:r>
      <w:r>
        <w:rPr>
          <w:rStyle w:val="31"/>
          <w:rFonts w:hint="eastAsia" w:ascii="仿宋" w:hAnsi="仿宋" w:eastAsia="仿宋" w:cs="Times New Roman"/>
          <w:b w:val="0"/>
          <w:i w:val="0"/>
          <w:caps w:val="0"/>
          <w:spacing w:val="0"/>
          <w:w w:val="100"/>
          <w:kern w:val="2"/>
          <w:sz w:val="32"/>
          <w:szCs w:val="32"/>
          <w:lang w:val="zh-TW" w:eastAsia="zh-CN" w:bidi="ar-SA"/>
        </w:rPr>
        <w:t>中</w:t>
      </w:r>
      <w:r>
        <w:rPr>
          <w:rStyle w:val="31"/>
          <w:rFonts w:hint="eastAsia" w:ascii="仿宋" w:hAnsi="仿宋" w:eastAsia="仿宋" w:cs="Times New Roman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  <w:t>93</w:t>
      </w:r>
      <w:r>
        <w:rPr>
          <w:rStyle w:val="31"/>
          <w:rFonts w:hint="eastAsia" w:ascii="仿宋" w:hAnsi="仿宋" w:eastAsia="仿宋" w:cs="Times New Roman"/>
          <w:b w:val="0"/>
          <w:i w:val="0"/>
          <w:caps w:val="0"/>
          <w:spacing w:val="0"/>
          <w:w w:val="100"/>
          <w:kern w:val="2"/>
          <w:sz w:val="32"/>
          <w:szCs w:val="32"/>
          <w:highlight w:val="none"/>
          <w:lang w:val="zh-TW" w:eastAsia="zh-CN" w:bidi="ar-SA"/>
        </w:rPr>
        <w:t>项</w:t>
      </w:r>
      <w:r>
        <w:rPr>
          <w:rStyle w:val="31"/>
          <w:rFonts w:hint="eastAsia" w:ascii="仿宋" w:hAnsi="仿宋" w:eastAsia="仿宋" w:cs="Times New Roman"/>
          <w:b w:val="0"/>
          <w:i w:val="0"/>
          <w:caps w:val="0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  <w:t>监测因子全部达标。(</w:t>
      </w:r>
      <w:r>
        <w:rPr>
          <w:rStyle w:val="31"/>
          <w:rFonts w:hint="eastAsia" w:ascii="仿宋" w:hAnsi="仿宋" w:eastAsia="仿宋" w:cs="Times New Roman"/>
          <w:b w:val="0"/>
          <w:i w:val="0"/>
          <w:caps w:val="0"/>
          <w:spacing w:val="0"/>
          <w:w w:val="100"/>
          <w:kern w:val="2"/>
          <w:sz w:val="32"/>
          <w:szCs w:val="32"/>
          <w:highlight w:val="none"/>
          <w:lang w:val="zh-TW" w:eastAsia="zh-CN" w:bidi="ar-SA"/>
        </w:rPr>
        <w:t>详见附表</w:t>
      </w:r>
      <w:r>
        <w:rPr>
          <w:rStyle w:val="31"/>
          <w:rFonts w:hint="eastAsia" w:ascii="仿宋" w:hAnsi="仿宋" w:eastAsia="仿宋" w:cs="Times New Roman"/>
          <w:b w:val="0"/>
          <w:i w:val="0"/>
          <w:caps w:val="0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  <w:t>)</w:t>
      </w:r>
    </w:p>
    <w:p w14:paraId="50DB9A35">
      <w:pPr>
        <w:pStyle w:val="10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40" w:firstLine="643" w:firstLineChars="200"/>
        <w:jc w:val="both"/>
        <w:textAlignment w:val="auto"/>
        <w:rPr>
          <w:rFonts w:ascii="宋体" w:hAnsi="宋体" w:eastAsia="宋体"/>
          <w:b/>
          <w:spacing w:val="0"/>
          <w:sz w:val="32"/>
          <w:szCs w:val="32"/>
        </w:rPr>
      </w:pPr>
      <w:r>
        <w:rPr>
          <w:rStyle w:val="15"/>
          <w:rFonts w:hint="eastAsia" w:eastAsia="宋体"/>
          <w:b/>
          <w:spacing w:val="0"/>
          <w:sz w:val="32"/>
          <w:szCs w:val="32"/>
        </w:rPr>
        <w:t>（2）</w:t>
      </w:r>
      <w:r>
        <w:rPr>
          <w:rFonts w:hint="eastAsia" w:ascii="宋体" w:hAnsi="宋体" w:eastAsia="宋体"/>
          <w:b/>
          <w:color w:val="000000"/>
          <w:spacing w:val="0"/>
          <w:sz w:val="32"/>
          <w:szCs w:val="32"/>
          <w:lang w:val="zh-TW"/>
        </w:rPr>
        <w:t>地</w:t>
      </w:r>
      <w:r>
        <w:rPr>
          <w:rFonts w:hint="eastAsia" w:ascii="宋体" w:hAnsi="宋体" w:eastAsia="宋体"/>
          <w:b/>
          <w:color w:val="000000"/>
          <w:spacing w:val="0"/>
          <w:sz w:val="32"/>
          <w:szCs w:val="32"/>
        </w:rPr>
        <w:t>表水</w:t>
      </w:r>
      <w:r>
        <w:rPr>
          <w:rFonts w:hint="eastAsia" w:ascii="宋体" w:hAnsi="宋体" w:eastAsia="宋体"/>
          <w:b/>
          <w:color w:val="000000"/>
          <w:spacing w:val="0"/>
          <w:sz w:val="32"/>
          <w:szCs w:val="32"/>
          <w:lang w:val="zh-TW"/>
        </w:rPr>
        <w:t>水源</w:t>
      </w:r>
    </w:p>
    <w:p w14:paraId="29CF5471">
      <w:pPr>
        <w:pStyle w:val="7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right="0" w:firstLine="640" w:firstLineChars="200"/>
        <w:jc w:val="both"/>
        <w:textAlignment w:val="auto"/>
        <w:rPr>
          <w:rStyle w:val="31"/>
          <w:rFonts w:hint="eastAsia" w:ascii="仿宋" w:hAnsi="仿宋" w:eastAsia="仿宋" w:cs="Times New Roman"/>
          <w:b w:val="0"/>
          <w:bCs/>
          <w:i w:val="0"/>
          <w:caps w:val="0"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Style w:val="31"/>
          <w:rFonts w:hint="eastAsia" w:ascii="仿宋" w:hAnsi="仿宋" w:eastAsia="仿宋" w:cs="Times New Roman"/>
          <w:b w:val="0"/>
          <w:bCs/>
          <w:i w:val="0"/>
          <w:caps w:val="0"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  <w:t>109项监测因子全部符合《地表水环境质量标准》（GB3828-2002)Ⅲ类水标准。</w:t>
      </w:r>
    </w:p>
    <w:p w14:paraId="56930170">
      <w:pPr>
        <w:pStyle w:val="7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right="0" w:firstLine="643" w:firstLineChars="200"/>
        <w:jc w:val="both"/>
        <w:textAlignment w:val="auto"/>
        <w:rPr>
          <w:rFonts w:ascii="宋体" w:hAnsi="宋体" w:eastAsia="宋体"/>
          <w:b/>
          <w:spacing w:val="0"/>
          <w:sz w:val="32"/>
          <w:szCs w:val="32"/>
        </w:rPr>
      </w:pPr>
      <w:r>
        <w:rPr>
          <w:rStyle w:val="15"/>
          <w:rFonts w:hint="eastAsia" w:eastAsia="宋体"/>
          <w:b/>
          <w:spacing w:val="0"/>
          <w:sz w:val="32"/>
          <w:szCs w:val="32"/>
        </w:rPr>
        <w:t>（3）</w:t>
      </w:r>
      <w:r>
        <w:rPr>
          <w:rFonts w:hint="eastAsia" w:ascii="宋体" w:hAnsi="宋体" w:eastAsia="宋体"/>
          <w:b/>
          <w:color w:val="000000"/>
          <w:spacing w:val="0"/>
          <w:sz w:val="32"/>
          <w:szCs w:val="32"/>
          <w:lang w:val="zh-TW"/>
        </w:rPr>
        <w:t>地</w:t>
      </w:r>
      <w:r>
        <w:rPr>
          <w:rFonts w:hint="eastAsia" w:ascii="宋体" w:hAnsi="宋体" w:eastAsia="宋体"/>
          <w:b/>
          <w:color w:val="000000"/>
          <w:spacing w:val="0"/>
          <w:sz w:val="32"/>
          <w:szCs w:val="32"/>
        </w:rPr>
        <w:t>下水</w:t>
      </w:r>
      <w:r>
        <w:rPr>
          <w:rFonts w:hint="eastAsia" w:ascii="宋体" w:hAnsi="宋体" w:eastAsia="宋体"/>
          <w:b/>
          <w:color w:val="000000"/>
          <w:spacing w:val="0"/>
          <w:sz w:val="32"/>
          <w:szCs w:val="32"/>
          <w:lang w:val="zh-TW"/>
        </w:rPr>
        <w:t>水源</w:t>
      </w:r>
    </w:p>
    <w:p w14:paraId="2B5CC418">
      <w:pPr>
        <w:pStyle w:val="12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Style w:val="31"/>
          <w:rFonts w:hint="eastAsia" w:ascii="仿宋" w:hAnsi="仿宋" w:eastAsia="仿宋" w:cs="Times New Roman"/>
          <w:b w:val="0"/>
          <w:bCs/>
          <w:i w:val="0"/>
          <w:caps w:val="0"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Style w:val="31"/>
          <w:rFonts w:hint="eastAsia" w:ascii="仿宋" w:hAnsi="仿宋" w:eastAsia="仿宋" w:cs="Times New Roman"/>
          <w:b w:val="0"/>
          <w:bCs/>
          <w:i w:val="0"/>
          <w:caps w:val="0"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  <w:t>备用集中式饮用水源93</w:t>
      </w:r>
      <w:r>
        <w:rPr>
          <w:rStyle w:val="31"/>
          <w:rFonts w:hint="eastAsia" w:ascii="仿宋" w:hAnsi="仿宋" w:eastAsia="仿宋" w:cs="Times New Roman"/>
          <w:b w:val="0"/>
          <w:i w:val="0"/>
          <w:caps w:val="0"/>
          <w:spacing w:val="0"/>
          <w:w w:val="100"/>
          <w:kern w:val="2"/>
          <w:sz w:val="32"/>
          <w:szCs w:val="32"/>
          <w:highlight w:val="none"/>
          <w:lang w:val="zh-TW" w:eastAsia="zh-CN" w:bidi="ar-SA"/>
        </w:rPr>
        <w:t>项</w:t>
      </w:r>
      <w:r>
        <w:rPr>
          <w:rStyle w:val="31"/>
          <w:rFonts w:hint="eastAsia" w:ascii="仿宋" w:hAnsi="仿宋" w:eastAsia="仿宋" w:cs="Times New Roman"/>
          <w:b w:val="0"/>
          <w:bCs/>
          <w:i w:val="0"/>
          <w:caps w:val="0"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  <w:t>监测因子全部符合《</w:t>
      </w:r>
      <w:r>
        <w:rPr>
          <w:rStyle w:val="31"/>
          <w:rFonts w:hint="eastAsia" w:ascii="仿宋" w:hAnsi="仿宋" w:eastAsia="仿宋" w:cs="Times New Roman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  <w:t>地下水质量标准</w:t>
      </w:r>
      <w:r>
        <w:rPr>
          <w:rStyle w:val="31"/>
          <w:rFonts w:hint="eastAsia" w:ascii="仿宋" w:hAnsi="仿宋" w:eastAsia="仿宋" w:cs="Times New Roman"/>
          <w:b w:val="0"/>
          <w:bCs/>
          <w:i w:val="0"/>
          <w:caps w:val="0"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  <w:t>》（GB/T14848-2017)Ⅲ类水标准。</w:t>
      </w:r>
    </w:p>
    <w:p w14:paraId="1983518D">
      <w:pPr>
        <w:pStyle w:val="11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after="752" w:line="560" w:lineRule="exact"/>
        <w:ind w:right="40"/>
        <w:jc w:val="left"/>
        <w:textAlignment w:val="auto"/>
        <w:rPr>
          <w:rStyle w:val="31"/>
          <w:rFonts w:hint="eastAsia" w:ascii="仿宋" w:hAnsi="仿宋" w:eastAsia="仿宋" w:cs="Times New Roman"/>
          <w:b w:val="0"/>
          <w:bCs/>
          <w:i w:val="0"/>
          <w:caps w:val="0"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  <w:sectPr>
          <w:headerReference r:id="rId3" w:type="even"/>
          <w:pgSz w:w="11909" w:h="16838"/>
          <w:pgMar w:top="1282" w:right="1433" w:bottom="1806" w:left="1462" w:header="0" w:footer="3" w:gutter="0"/>
          <w:cols w:space="720" w:num="1"/>
          <w:titlePg/>
          <w:docGrid w:linePitch="360" w:charSpace="0"/>
        </w:sectPr>
      </w:pPr>
      <w:bookmarkStart w:id="2" w:name="_GoBack"/>
      <w:bookmarkEnd w:id="2"/>
    </w:p>
    <w:p w14:paraId="03FF204D">
      <w:pPr>
        <w:pStyle w:val="11"/>
        <w:shd w:val="clear" w:color="auto" w:fill="auto"/>
        <w:spacing w:after="752" w:line="440" w:lineRule="exact"/>
        <w:ind w:right="40"/>
        <w:jc w:val="left"/>
        <w:rPr>
          <w:rStyle w:val="26"/>
          <w:rFonts w:hint="eastAsia" w:ascii="宋体" w:hAnsi="宋体" w:eastAsia="宋体" w:cs="宋体"/>
          <w:spacing w:val="0"/>
        </w:rPr>
      </w:pPr>
      <w:r>
        <w:rPr>
          <w:rStyle w:val="31"/>
          <w:rFonts w:hint="eastAsia" w:ascii="宋体" w:hAnsi="宋体" w:eastAsia="宋体" w:cs="宋体"/>
          <w:b w:val="0"/>
          <w:i w:val="0"/>
          <w:caps w:val="0"/>
          <w:spacing w:val="0"/>
          <w:w w:val="100"/>
          <w:kern w:val="2"/>
          <w:sz w:val="32"/>
          <w:szCs w:val="32"/>
          <w:highlight w:val="none"/>
          <w:lang w:val="zh-TW" w:eastAsia="zh-CN" w:bidi="ar-SA"/>
        </w:rPr>
        <w:t>附表</w:t>
      </w:r>
    </w:p>
    <w:p w14:paraId="08B7357F">
      <w:pPr>
        <w:pStyle w:val="11"/>
        <w:shd w:val="clear" w:color="auto" w:fill="auto"/>
        <w:spacing w:after="752" w:line="440" w:lineRule="exact"/>
        <w:ind w:right="40"/>
        <w:rPr>
          <w:rFonts w:ascii="宋体" w:hAnsi="宋体" w:eastAsia="宋体"/>
          <w:spacing w:val="0"/>
        </w:rPr>
      </w:pPr>
      <w:r>
        <w:rPr>
          <w:rFonts w:ascii="MingLiU" w:hAnsi="MingLiU" w:eastAsia="MingLiU" w:cs="MingLiU"/>
          <w:color w:val="auto"/>
          <w:spacing w:val="-50"/>
          <w:kern w:val="2"/>
          <w:sz w:val="39"/>
          <w:szCs w:val="39"/>
          <w:lang w:val="en-US" w:eastAsia="zh-CN" w:bidi="ar-SA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margin">
                  <wp:posOffset>22225</wp:posOffset>
                </wp:positionH>
                <wp:positionV relativeFrom="margin">
                  <wp:posOffset>-664210</wp:posOffset>
                </wp:positionV>
                <wp:extent cx="490855" cy="201295"/>
                <wp:effectExtent l="0" t="0" r="0" b="0"/>
                <wp:wrapTopAndBottom/>
                <wp:docPr id="1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0855" cy="2012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A8D6BB8"/>
                        </w:txbxContent>
                      </wps:txbx>
                      <wps:bodyPr vert="eaVert"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rect id="文本框 3" o:spid="_x0000_s1026" o:spt="1" style="position:absolute;left:0pt;margin-left:1.75pt;margin-top:-52.3pt;height:15.85pt;width:38.65pt;mso-position-horizontal-relative:margin;mso-position-vertical-relative:margin;mso-wrap-distance-bottom:0pt;mso-wrap-distance-top:0pt;z-index:-251657216;mso-width-relative:page;mso-height-relative:page;" filled="f" stroked="f" coordsize="21600,21600" o:gfxdata="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BYZGx72gAAAAkBAAAPAAAAAAAAAAEAIAAAACIAAABkcnMvZG93bnJldi54bWxQ&#10;SwECFAAUAAAACACHTuJAubKFtrwBAAB1AwAADgAAAAAAAAABACAAAAApAQAAZHJzL2Uyb0RvYy54&#10;bWxQSwUGAAAAAAYABgBZAQAAVwUAAAAA&#10;">
                <v:fill on="f" focussize="0,0"/>
                <v:stroke on="f"/>
                <v:imagedata o:title=""/>
                <o:lock v:ext="edit" aspectratio="f"/>
                <v:textbox inset="0mm,0mm,0mm,0mm" style="layout-flow:vertical-ideographic;">
                  <w:txbxContent>
                    <w:p w14:paraId="0A8D6BB8"/>
                  </w:txbxContent>
                </v:textbox>
                <w10:wrap type="topAndBottom"/>
              </v:rect>
            </w:pict>
          </mc:Fallback>
        </mc:AlternateContent>
      </w:r>
      <w:bookmarkStart w:id="1" w:name="bookmark5"/>
      <w:r>
        <w:rPr>
          <w:rStyle w:val="26"/>
          <w:rFonts w:eastAsia="宋体"/>
          <w:spacing w:val="0"/>
        </w:rPr>
        <w:t>20</w:t>
      </w:r>
      <w:r>
        <w:rPr>
          <w:rStyle w:val="26"/>
          <w:rFonts w:hint="eastAsia" w:eastAsia="宋体"/>
          <w:spacing w:val="0"/>
          <w:lang w:val="en-US" w:eastAsia="zh-CN"/>
        </w:rPr>
        <w:t>26</w:t>
      </w:r>
      <w:r>
        <w:rPr>
          <w:rFonts w:hint="eastAsia" w:ascii="宋体" w:hAnsi="宋体" w:eastAsia="宋体"/>
          <w:color w:val="000000"/>
          <w:spacing w:val="0"/>
          <w:lang w:val="zh-TW"/>
        </w:rPr>
        <w:t>年</w:t>
      </w:r>
      <w:r>
        <w:rPr>
          <w:rFonts w:hint="eastAsia" w:ascii="宋体" w:hAnsi="宋体" w:eastAsia="宋体"/>
          <w:color w:val="000000"/>
          <w:spacing w:val="0"/>
          <w:lang w:val="en-US" w:eastAsia="zh-CN"/>
        </w:rPr>
        <w:t>第二季</w:t>
      </w:r>
      <w:r>
        <w:rPr>
          <w:rFonts w:hint="eastAsia" w:ascii="宋体" w:hAnsi="宋体" w:eastAsia="宋体"/>
          <w:color w:val="000000"/>
          <w:spacing w:val="0"/>
        </w:rPr>
        <w:t>度</w:t>
      </w:r>
      <w:r>
        <w:rPr>
          <w:rFonts w:hint="eastAsia" w:ascii="宋体" w:hAnsi="宋体" w:eastAsia="宋体"/>
          <w:spacing w:val="0"/>
        </w:rPr>
        <w:t>襄城县</w:t>
      </w:r>
      <w:r>
        <w:rPr>
          <w:rFonts w:hint="eastAsia" w:ascii="宋体" w:hAnsi="宋体" w:eastAsia="宋体"/>
          <w:color w:val="000000"/>
          <w:spacing w:val="0"/>
          <w:lang w:val="zh-TW"/>
        </w:rPr>
        <w:t>集中式饮用水水源水质状况</w:t>
      </w:r>
      <w:bookmarkEnd w:id="1"/>
    </w:p>
    <w:tbl>
      <w:tblPr>
        <w:tblStyle w:val="5"/>
        <w:tblW w:w="1373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286"/>
        <w:gridCol w:w="1584"/>
        <w:gridCol w:w="1236"/>
        <w:gridCol w:w="2835"/>
        <w:gridCol w:w="2126"/>
        <w:gridCol w:w="1985"/>
        <w:gridCol w:w="2686"/>
      </w:tblGrid>
      <w:tr w14:paraId="5C5A59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54" w:hRule="exact"/>
          <w:jc w:val="center"/>
        </w:trPr>
        <w:tc>
          <w:tcPr>
            <w:tcW w:w="1286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086937F8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序号</w:t>
            </w:r>
          </w:p>
        </w:tc>
        <w:tc>
          <w:tcPr>
            <w:tcW w:w="158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01EC04A2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省份名称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54A532B2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城市名称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48CEEB7E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水源名称</w:t>
            </w:r>
          </w:p>
          <w:p w14:paraId="2AE38894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（监测点位）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57FA33A1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水源类型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15C91470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迖标情况</w:t>
            </w:r>
          </w:p>
        </w:tc>
        <w:tc>
          <w:tcPr>
            <w:tcW w:w="268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03A2468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超标指标及超标倍数</w:t>
            </w:r>
          </w:p>
        </w:tc>
      </w:tr>
      <w:tr w14:paraId="381CDD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72" w:hRule="exact"/>
          <w:jc w:val="center"/>
        </w:trPr>
        <w:tc>
          <w:tcPr>
            <w:tcW w:w="12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7CCCA2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75A8897E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河南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50708E7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襄城县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D812D0B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第三水厂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79711AF8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地表水（源水）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56A67E8D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达标</w:t>
            </w:r>
          </w:p>
        </w:tc>
        <w:tc>
          <w:tcPr>
            <w:tcW w:w="2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2DC0DAB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rFonts w:hint="eastAsia"/>
                <w:sz w:val="28"/>
                <w:szCs w:val="28"/>
                <w:lang w:val="en-US"/>
              </w:rPr>
              <w:t>无</w:t>
            </w:r>
          </w:p>
        </w:tc>
      </w:tr>
      <w:tr w14:paraId="0CEAE0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58" w:hRule="exact"/>
          <w:jc w:val="center"/>
        </w:trPr>
        <w:tc>
          <w:tcPr>
            <w:tcW w:w="12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60D27AD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rFonts w:hint="eastAsia"/>
                <w:sz w:val="28"/>
                <w:szCs w:val="28"/>
                <w:lang w:val="en-US"/>
              </w:rPr>
              <w:t>2</w:t>
            </w:r>
          </w:p>
        </w:tc>
        <w:tc>
          <w:tcPr>
            <w:tcW w:w="1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7887C59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河南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B681D3E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襄城县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2DE4384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第二水厂（备用水源）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B106FC7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地下水（源水）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0CFE26F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达标</w:t>
            </w:r>
          </w:p>
        </w:tc>
        <w:tc>
          <w:tcPr>
            <w:tcW w:w="2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5884FC1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/>
              </w:rPr>
              <w:t>无</w:t>
            </w:r>
          </w:p>
        </w:tc>
      </w:tr>
    </w:tbl>
    <w:p w14:paraId="09663375">
      <w:pPr>
        <w:pStyle w:val="7"/>
        <w:shd w:val="clear" w:color="auto" w:fill="auto"/>
        <w:spacing w:before="0" w:after="656" w:line="614" w:lineRule="exact"/>
        <w:ind w:left="20" w:right="320" w:firstLine="560"/>
        <w:jc w:val="both"/>
        <w:rPr>
          <w:rFonts w:ascii="宋体" w:hAnsi="宋体" w:eastAsia="宋体"/>
          <w:sz w:val="2"/>
          <w:szCs w:val="2"/>
        </w:rPr>
      </w:pPr>
    </w:p>
    <w:p w14:paraId="30B65380"/>
    <w:sectPr>
      <w:pgSz w:w="16838" w:h="11909" w:orient="landscape"/>
      <w:pgMar w:top="1435" w:right="1809" w:bottom="1463" w:left="1281" w:header="0" w:footer="6" w:gutter="0"/>
      <w:cols w:space="720" w:num="1"/>
      <w:titlePg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ngLiU">
    <w:altName w:val="PMingLiU-ExtB"/>
    <w:panose1 w:val="02020309000000000000"/>
    <w:charset w:val="88"/>
    <w:family w:val="auto"/>
    <w:pitch w:val="default"/>
    <w:sig w:usb0="00000000" w:usb1="00000000" w:usb2="00000016" w:usb3="00000000" w:csb0="001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6B657194">
    <w:panose1 w:val="02020500000000000000"/>
    <w:charset w:val="88"/>
    <w:family w:val="auto"/>
    <w:pitch w:val="default"/>
    <w:sig w:usb0="00000001" w:usb1="00000000" w:usb2="00000000" w:usb3="00000000" w:csb0="00100001" w:csb1="00000000"/>
  </w:font>
  <w:font w:name="KSOFC540DBD5">
    <w:panose1 w:val="02020500000000000000"/>
    <w:charset w:val="88"/>
    <w:family w:val="auto"/>
    <w:pitch w:val="default"/>
    <w:sig w:usb0="00000001" w:usb1="00000000" w:usb2="00000000" w:usb3="00000000" w:csb0="0010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8CCBFE">
    <w:pPr>
      <w:rPr>
        <w:sz w:val="2"/>
        <w:szCs w:val="2"/>
      </w:rPr>
    </w:pPr>
    <w:r>
      <w:rPr>
        <w:rFonts w:ascii="Courier New" w:hAnsi="Courier New" w:eastAsia="宋体" w:cs="Courier New"/>
        <w:color w:val="000000"/>
        <w:sz w:val="24"/>
        <w:szCs w:val="24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4479925</wp:posOffset>
              </wp:positionH>
              <wp:positionV relativeFrom="page">
                <wp:posOffset>3121660</wp:posOffset>
              </wp:positionV>
              <wp:extent cx="12065" cy="52070"/>
              <wp:effectExtent l="0" t="0" r="0" b="0"/>
              <wp:wrapNone/>
              <wp:docPr id="2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065" cy="520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825C6A6">
                          <w:pPr>
                            <w:pStyle w:val="8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25"/>
                              <w:lang w:val="zh-TW"/>
                            </w:rPr>
                            <w:t>I</w:t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1" o:spid="_x0000_s1026" o:spt="1" style="position:absolute;left:0pt;margin-left:352.75pt;margin-top:245.8pt;height:4.1pt;width:0.95pt;mso-position-horizontal-relative:page;mso-position-vertical-relative:page;mso-wrap-style:none;z-index:-251657216;mso-width-relative:page;mso-height-relative:page;" filled="f" stroked="f" coordsize="21600,21600" o:gfxdata="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825C6A6">
                    <w:pPr>
                      <w:pStyle w:val="8"/>
                      <w:shd w:val="clear" w:color="auto" w:fill="auto"/>
                      <w:spacing w:line="240" w:lineRule="auto"/>
                    </w:pPr>
                    <w:r>
                      <w:rPr>
                        <w:rStyle w:val="25"/>
                        <w:lang w:val="zh-TW"/>
                      </w:rPr>
                      <w:t>I</w:t>
                    </w:r>
                  </w:p>
                </w:txbxContent>
              </v:textbox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lhNzVjN2I4NDQyY2VkYTVmNjU4ZTQzZWI5YTQwMzcifQ=="/>
  </w:docVars>
  <w:rsids>
    <w:rsidRoot w:val="00000000"/>
    <w:rsid w:val="14F550F7"/>
    <w:rsid w:val="35993DA9"/>
    <w:rsid w:val="371D1107"/>
    <w:rsid w:val="45C81B0A"/>
    <w:rsid w:val="47152B0E"/>
    <w:rsid w:val="551E7CB1"/>
    <w:rsid w:val="6A611A43"/>
    <w:rsid w:val="7278765C"/>
    <w:rsid w:val="755615C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semiHidden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Courier New" w:hAnsi="Courier New" w:eastAsia="宋体" w:cs="Courier New"/>
      <w:color w:val="000000"/>
      <w:sz w:val="24"/>
      <w:szCs w:val="24"/>
      <w:lang w:val="zh-TW" w:eastAsia="zh-CN" w:bidi="ar-SA"/>
    </w:rPr>
  </w:style>
  <w:style w:type="paragraph" w:styleId="2">
    <w:name w:val="heading 5"/>
    <w:basedOn w:val="1"/>
    <w:next w:val="1"/>
    <w:link w:val="30"/>
    <w:unhideWhenUsed/>
    <w:qFormat/>
    <w:locked/>
    <w:uiPriority w:val="0"/>
    <w:pPr>
      <w:spacing w:beforeAutospacing="1" w:afterAutospacing="1"/>
      <w:outlineLvl w:val="4"/>
    </w:pPr>
    <w:rPr>
      <w:rFonts w:hint="eastAsia" w:ascii="宋体" w:hAnsi="宋体" w:cs="Times New Roman"/>
      <w:b/>
      <w:sz w:val="20"/>
      <w:szCs w:val="20"/>
      <w:lang w:val="en-US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29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4">
    <w:name w:val="header"/>
    <w:basedOn w:val="1"/>
    <w:link w:val="2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7">
    <w:name w:val="正文文本3"/>
    <w:basedOn w:val="1"/>
    <w:link w:val="14"/>
    <w:qFormat/>
    <w:uiPriority w:val="99"/>
    <w:pPr>
      <w:shd w:val="clear" w:color="auto" w:fill="FFFFFF"/>
      <w:spacing w:before="1260" w:after="2700" w:line="240" w:lineRule="atLeast"/>
      <w:jc w:val="right"/>
    </w:pPr>
    <w:rPr>
      <w:rFonts w:ascii="MingLiU" w:hAnsi="MingLiU" w:eastAsia="MingLiU" w:cs="MingLiU"/>
      <w:color w:val="auto"/>
      <w:kern w:val="2"/>
      <w:sz w:val="29"/>
      <w:szCs w:val="29"/>
      <w:lang w:val="en-US"/>
    </w:rPr>
  </w:style>
  <w:style w:type="paragraph" w:customStyle="1" w:styleId="8">
    <w:name w:val="页眉或页脚"/>
    <w:basedOn w:val="1"/>
    <w:link w:val="16"/>
    <w:qFormat/>
    <w:uiPriority w:val="99"/>
    <w:pPr>
      <w:shd w:val="clear" w:color="auto" w:fill="FFFFFF"/>
      <w:spacing w:line="240" w:lineRule="atLeast"/>
    </w:pPr>
    <w:rPr>
      <w:rFonts w:ascii="宋体" w:hAnsi="宋体" w:cs="宋体"/>
      <w:color w:val="auto"/>
      <w:spacing w:val="60"/>
      <w:kern w:val="2"/>
      <w:sz w:val="19"/>
      <w:szCs w:val="19"/>
      <w:lang w:val="en-US"/>
    </w:rPr>
  </w:style>
  <w:style w:type="paragraph" w:customStyle="1" w:styleId="9">
    <w:name w:val="正文文本 (6)"/>
    <w:basedOn w:val="1"/>
    <w:link w:val="18"/>
    <w:qFormat/>
    <w:uiPriority w:val="99"/>
    <w:pPr>
      <w:shd w:val="clear" w:color="auto" w:fill="FFFFFF"/>
      <w:spacing w:line="610" w:lineRule="exact"/>
      <w:jc w:val="distribute"/>
    </w:pPr>
    <w:rPr>
      <w:rFonts w:ascii="MingLiU" w:hAnsi="MingLiU" w:eastAsia="MingLiU" w:cs="MingLiU"/>
      <w:b/>
      <w:bCs/>
      <w:color w:val="auto"/>
      <w:spacing w:val="-40"/>
      <w:kern w:val="2"/>
      <w:sz w:val="32"/>
      <w:szCs w:val="32"/>
      <w:lang w:val="en-US"/>
    </w:rPr>
  </w:style>
  <w:style w:type="paragraph" w:customStyle="1" w:styleId="10">
    <w:name w:val="正文文本 (7)"/>
    <w:basedOn w:val="1"/>
    <w:link w:val="20"/>
    <w:qFormat/>
    <w:uiPriority w:val="99"/>
    <w:pPr>
      <w:shd w:val="clear" w:color="auto" w:fill="FFFFFF"/>
      <w:spacing w:line="581" w:lineRule="exact"/>
      <w:ind w:firstLine="620"/>
      <w:jc w:val="distribute"/>
    </w:pPr>
    <w:rPr>
      <w:rFonts w:ascii="MingLiU" w:hAnsi="MingLiU" w:eastAsia="MingLiU" w:cs="MingLiU"/>
      <w:b/>
      <w:bCs/>
      <w:color w:val="auto"/>
      <w:spacing w:val="-40"/>
      <w:kern w:val="2"/>
      <w:sz w:val="32"/>
      <w:szCs w:val="32"/>
      <w:lang w:val="en-US"/>
    </w:rPr>
  </w:style>
  <w:style w:type="paragraph" w:customStyle="1" w:styleId="11">
    <w:name w:val="正文文本 (10)"/>
    <w:basedOn w:val="1"/>
    <w:link w:val="21"/>
    <w:qFormat/>
    <w:uiPriority w:val="99"/>
    <w:pPr>
      <w:shd w:val="clear" w:color="auto" w:fill="FFFFFF"/>
      <w:spacing w:after="120" w:line="586" w:lineRule="exact"/>
      <w:jc w:val="center"/>
    </w:pPr>
    <w:rPr>
      <w:rFonts w:ascii="MingLiU" w:hAnsi="MingLiU" w:eastAsia="MingLiU" w:cs="MingLiU"/>
      <w:color w:val="auto"/>
      <w:spacing w:val="-50"/>
      <w:kern w:val="2"/>
      <w:sz w:val="39"/>
      <w:szCs w:val="39"/>
      <w:lang w:val="en-US"/>
    </w:rPr>
  </w:style>
  <w:style w:type="paragraph" w:customStyle="1" w:styleId="12">
    <w:name w:val="正文文本 (11)"/>
    <w:basedOn w:val="1"/>
    <w:link w:val="24"/>
    <w:qFormat/>
    <w:uiPriority w:val="99"/>
    <w:pPr>
      <w:shd w:val="clear" w:color="auto" w:fill="FFFFFF"/>
      <w:spacing w:line="624" w:lineRule="exact"/>
      <w:ind w:firstLine="560"/>
      <w:jc w:val="distribute"/>
    </w:pPr>
    <w:rPr>
      <w:rFonts w:ascii="MingLiU" w:hAnsi="MingLiU" w:eastAsia="MingLiU" w:cs="MingLiU"/>
      <w:color w:val="auto"/>
      <w:spacing w:val="-40"/>
      <w:kern w:val="2"/>
      <w:sz w:val="33"/>
      <w:szCs w:val="33"/>
      <w:lang w:val="en-US"/>
    </w:rPr>
  </w:style>
  <w:style w:type="paragraph" w:customStyle="1" w:styleId="13">
    <w:name w:val="No Spacing"/>
    <w:qFormat/>
    <w:uiPriority w:val="99"/>
    <w:pPr>
      <w:widowControl w:val="0"/>
    </w:pPr>
    <w:rPr>
      <w:rFonts w:ascii="Courier New" w:hAnsi="Courier New" w:eastAsia="宋体" w:cs="Courier New"/>
      <w:color w:val="000000"/>
      <w:sz w:val="24"/>
      <w:szCs w:val="24"/>
      <w:lang w:val="zh-TW" w:eastAsia="zh-CN" w:bidi="ar-SA"/>
    </w:rPr>
  </w:style>
  <w:style w:type="character" w:customStyle="1" w:styleId="14">
    <w:name w:val="正文文本_"/>
    <w:basedOn w:val="6"/>
    <w:link w:val="7"/>
    <w:qFormat/>
    <w:locked/>
    <w:uiPriority w:val="99"/>
    <w:rPr>
      <w:rFonts w:ascii="MingLiU" w:hAnsi="MingLiU" w:eastAsia="MingLiU" w:cs="MingLiU"/>
      <w:sz w:val="29"/>
      <w:szCs w:val="29"/>
      <w:shd w:val="clear" w:color="auto" w:fill="FFFFFF"/>
    </w:rPr>
  </w:style>
  <w:style w:type="character" w:customStyle="1" w:styleId="15">
    <w:name w:val="正文文本 + SimSun"/>
    <w:basedOn w:val="14"/>
    <w:qFormat/>
    <w:uiPriority w:val="99"/>
    <w:rPr>
      <w:rFonts w:ascii="宋体" w:hAnsi="宋体" w:cs="宋体"/>
      <w:color w:val="000000"/>
      <w:spacing w:val="10"/>
      <w:w w:val="100"/>
      <w:position w:val="0"/>
      <w:sz w:val="27"/>
      <w:szCs w:val="27"/>
      <w:lang w:val="en-US"/>
    </w:rPr>
  </w:style>
  <w:style w:type="character" w:customStyle="1" w:styleId="16">
    <w:name w:val="页眉或页脚_"/>
    <w:basedOn w:val="6"/>
    <w:link w:val="8"/>
    <w:qFormat/>
    <w:locked/>
    <w:uiPriority w:val="99"/>
    <w:rPr>
      <w:rFonts w:ascii="宋体" w:hAnsi="宋体" w:cs="宋体"/>
      <w:spacing w:val="60"/>
      <w:sz w:val="19"/>
      <w:szCs w:val="19"/>
      <w:shd w:val="clear" w:color="auto" w:fill="FFFFFF"/>
    </w:rPr>
  </w:style>
  <w:style w:type="character" w:customStyle="1" w:styleId="17">
    <w:name w:val="正文文本 + 间距 3 pt"/>
    <w:basedOn w:val="14"/>
    <w:qFormat/>
    <w:uiPriority w:val="99"/>
    <w:rPr>
      <w:color w:val="000000"/>
      <w:spacing w:val="70"/>
      <w:w w:val="100"/>
      <w:position w:val="0"/>
      <w:lang w:val="zh-TW"/>
    </w:rPr>
  </w:style>
  <w:style w:type="character" w:customStyle="1" w:styleId="18">
    <w:name w:val="正文文本 (6)_"/>
    <w:basedOn w:val="6"/>
    <w:link w:val="9"/>
    <w:qFormat/>
    <w:locked/>
    <w:uiPriority w:val="99"/>
    <w:rPr>
      <w:rFonts w:ascii="MingLiU" w:hAnsi="MingLiU" w:eastAsia="MingLiU" w:cs="MingLiU"/>
      <w:b/>
      <w:bCs/>
      <w:spacing w:val="-40"/>
      <w:sz w:val="32"/>
      <w:szCs w:val="32"/>
      <w:shd w:val="clear" w:color="auto" w:fill="FFFFFF"/>
    </w:rPr>
  </w:style>
  <w:style w:type="character" w:customStyle="1" w:styleId="19">
    <w:name w:val="正文文本2"/>
    <w:basedOn w:val="14"/>
    <w:qFormat/>
    <w:uiPriority w:val="99"/>
    <w:rPr>
      <w:color w:val="000000"/>
      <w:spacing w:val="0"/>
      <w:w w:val="100"/>
      <w:position w:val="0"/>
      <w:lang w:val="zh-TW"/>
    </w:rPr>
  </w:style>
  <w:style w:type="character" w:customStyle="1" w:styleId="20">
    <w:name w:val="正文文本 (7)_"/>
    <w:basedOn w:val="6"/>
    <w:link w:val="10"/>
    <w:qFormat/>
    <w:locked/>
    <w:uiPriority w:val="99"/>
    <w:rPr>
      <w:rFonts w:ascii="MingLiU" w:hAnsi="MingLiU" w:eastAsia="MingLiU" w:cs="MingLiU"/>
      <w:b/>
      <w:bCs/>
      <w:spacing w:val="-40"/>
      <w:sz w:val="32"/>
      <w:szCs w:val="32"/>
      <w:shd w:val="clear" w:color="auto" w:fill="FFFFFF"/>
    </w:rPr>
  </w:style>
  <w:style w:type="character" w:customStyle="1" w:styleId="21">
    <w:name w:val="正文文本 (10)_"/>
    <w:basedOn w:val="6"/>
    <w:link w:val="11"/>
    <w:qFormat/>
    <w:locked/>
    <w:uiPriority w:val="99"/>
    <w:rPr>
      <w:rFonts w:ascii="MingLiU" w:hAnsi="MingLiU" w:eastAsia="MingLiU" w:cs="MingLiU"/>
      <w:spacing w:val="-50"/>
      <w:sz w:val="39"/>
      <w:szCs w:val="39"/>
      <w:shd w:val="clear" w:color="auto" w:fill="FFFFFF"/>
    </w:rPr>
  </w:style>
  <w:style w:type="character" w:customStyle="1" w:styleId="22">
    <w:name w:val="正文文本 (10) + 间距 2 pt"/>
    <w:basedOn w:val="21"/>
    <w:qFormat/>
    <w:uiPriority w:val="99"/>
    <w:rPr>
      <w:color w:val="000000"/>
      <w:spacing w:val="40"/>
      <w:w w:val="100"/>
      <w:position w:val="0"/>
      <w:lang w:val="zh-TW"/>
    </w:rPr>
  </w:style>
  <w:style w:type="character" w:customStyle="1" w:styleId="23">
    <w:name w:val="正文文本 + 间距 2 pt"/>
    <w:basedOn w:val="14"/>
    <w:qFormat/>
    <w:uiPriority w:val="99"/>
    <w:rPr>
      <w:color w:val="000000"/>
      <w:spacing w:val="40"/>
      <w:w w:val="100"/>
      <w:position w:val="0"/>
      <w:lang w:val="zh-TW"/>
    </w:rPr>
  </w:style>
  <w:style w:type="character" w:customStyle="1" w:styleId="24">
    <w:name w:val="正文文本 (11)_"/>
    <w:basedOn w:val="6"/>
    <w:link w:val="12"/>
    <w:qFormat/>
    <w:locked/>
    <w:uiPriority w:val="99"/>
    <w:rPr>
      <w:rFonts w:ascii="MingLiU" w:hAnsi="MingLiU" w:eastAsia="MingLiU" w:cs="MingLiU"/>
      <w:spacing w:val="-40"/>
      <w:sz w:val="33"/>
      <w:szCs w:val="33"/>
      <w:shd w:val="clear" w:color="auto" w:fill="FFFFFF"/>
    </w:rPr>
  </w:style>
  <w:style w:type="character" w:customStyle="1" w:styleId="25">
    <w:name w:val="页眉或页脚 + 间距 0 pt"/>
    <w:basedOn w:val="16"/>
    <w:qFormat/>
    <w:uiPriority w:val="99"/>
    <w:rPr>
      <w:color w:val="000000"/>
      <w:spacing w:val="-10"/>
      <w:w w:val="100"/>
      <w:position w:val="0"/>
    </w:rPr>
  </w:style>
  <w:style w:type="character" w:customStyle="1" w:styleId="26">
    <w:name w:val="正文文本 (10) + SimSun"/>
    <w:basedOn w:val="21"/>
    <w:qFormat/>
    <w:uiPriority w:val="99"/>
    <w:rPr>
      <w:rFonts w:ascii="宋体" w:hAnsi="宋体" w:cs="宋体"/>
      <w:color w:val="000000"/>
      <w:w w:val="100"/>
      <w:position w:val="0"/>
      <w:sz w:val="44"/>
      <w:szCs w:val="44"/>
      <w:lang w:val="zh-TW"/>
    </w:rPr>
  </w:style>
  <w:style w:type="character" w:customStyle="1" w:styleId="27">
    <w:name w:val="正文文本 + SimHei"/>
    <w:basedOn w:val="14"/>
    <w:qFormat/>
    <w:uiPriority w:val="99"/>
    <w:rPr>
      <w:rFonts w:ascii="黑体" w:hAnsi="黑体" w:cs="黑体"/>
      <w:color w:val="000000"/>
      <w:spacing w:val="0"/>
      <w:w w:val="100"/>
      <w:position w:val="0"/>
      <w:sz w:val="8"/>
      <w:szCs w:val="8"/>
      <w:lang w:val="en-US"/>
    </w:rPr>
  </w:style>
  <w:style w:type="character" w:customStyle="1" w:styleId="28">
    <w:name w:val="页眉 Char Char"/>
    <w:basedOn w:val="6"/>
    <w:link w:val="4"/>
    <w:qFormat/>
    <w:uiPriority w:val="99"/>
    <w:rPr>
      <w:rFonts w:ascii="Courier New" w:hAnsi="Courier New" w:cs="Courier New"/>
      <w:color w:val="000000"/>
      <w:sz w:val="18"/>
      <w:szCs w:val="18"/>
      <w:lang w:val="zh-TW"/>
    </w:rPr>
  </w:style>
  <w:style w:type="character" w:customStyle="1" w:styleId="29">
    <w:name w:val="页脚 Char Char"/>
    <w:basedOn w:val="6"/>
    <w:link w:val="3"/>
    <w:qFormat/>
    <w:uiPriority w:val="99"/>
    <w:rPr>
      <w:rFonts w:ascii="Courier New" w:hAnsi="Courier New" w:cs="Courier New"/>
      <w:color w:val="000000"/>
      <w:sz w:val="18"/>
      <w:szCs w:val="18"/>
      <w:lang w:val="zh-TW"/>
    </w:rPr>
  </w:style>
  <w:style w:type="character" w:customStyle="1" w:styleId="30">
    <w:name w:val="标题 5 Char Char"/>
    <w:basedOn w:val="6"/>
    <w:link w:val="2"/>
    <w:qFormat/>
    <w:uiPriority w:val="0"/>
    <w:rPr>
      <w:rFonts w:ascii="宋体" w:hAnsi="宋体"/>
      <w:b/>
      <w:color w:val="000000"/>
    </w:rPr>
  </w:style>
  <w:style w:type="character" w:customStyle="1" w:styleId="31">
    <w:name w:val="NormalCharacter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578</Words>
  <Characters>677</Characters>
  <Lines>6</Lines>
  <Paragraphs>1</Paragraphs>
  <TotalTime>56</TotalTime>
  <ScaleCrop>false</ScaleCrop>
  <LinksUpToDate>false</LinksUpToDate>
  <CharactersWithSpaces>677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2018-11-07T00:28:00Z</dcterms:created>
  <dc:creator>Administrator</dc:creator>
  <cp:lastModifiedBy>办理</cp:lastModifiedBy>
  <cp:lastPrinted>2025-06-24T02:57:00Z</cp:lastPrinted>
  <dcterms:modified xsi:type="dcterms:W3CDTF">2026-09-29T03:42:34Z</dcterms:modified>
  <dc:title>2016年6月许昌市城市集中式饮用水水源水质状况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EC70123231DF4A21B4694C3435F21355_13</vt:lpwstr>
  </property>
  <property fmtid="{D5CDD505-2E9C-101B-9397-08002B2CF9AE}" pid="4" name="KSOTemplateDocerSaveRecord">
    <vt:lpwstr>eyJoZGlkIjoiZWMxOWIzMDQ2NDU5MzUzYzg2NjI4OWM5MjQyODM4NDQiLCJ1c2VySWQiOiIzOTc2MzU3NzgifQ==</vt:lpwstr>
  </property>
</Properties>
</file>