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jc w:val="left"/>
        <w:rPr>
          <w:rFonts w:hint="eastAsia" w:ascii="方正小标宋简体" w:hAnsi="方正小标宋简体" w:eastAsia="方正小标宋简体" w:cs="方正小标宋简体"/>
          <w:i w:val="0"/>
          <w:caps w:val="0"/>
          <w:color w:val="auto"/>
          <w:spacing w:val="0"/>
          <w:kern w:val="0"/>
          <w:sz w:val="36"/>
          <w:szCs w:val="36"/>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i w:val="0"/>
          <w:caps w:val="0"/>
          <w:color w:val="auto"/>
          <w:spacing w:val="0"/>
          <w:kern w:val="0"/>
          <w:sz w:val="36"/>
          <w:szCs w:val="36"/>
          <w:shd w:val="clear" w:color="auto" w:fill="FFFFFF"/>
          <w:lang w:val="en-US" w:eastAsia="zh-CN" w:bidi="ar"/>
        </w:rPr>
        <w:t>附件2</w:t>
      </w:r>
    </w:p>
    <w:p>
      <w:pPr>
        <w:keepNext w:val="0"/>
        <w:keepLines w:val="0"/>
        <w:pageBreakBefore w:val="0"/>
        <w:kinsoku/>
        <w:overflowPunct/>
        <w:topLinePunct w:val="0"/>
        <w:autoSpaceDE/>
        <w:autoSpaceDN/>
        <w:bidi w:val="0"/>
        <w:adjustRightInd/>
        <w:spacing w:line="560" w:lineRule="exact"/>
        <w:jc w:val="center"/>
        <w:rPr>
          <w:rFonts w:hint="eastAsia" w:ascii="黑体" w:hAnsi="黑体" w:eastAsia="黑体" w:cs="黑体"/>
          <w:i w:val="0"/>
          <w:caps w:val="0"/>
          <w:color w:val="auto"/>
          <w:spacing w:val="0"/>
          <w:kern w:val="0"/>
          <w:sz w:val="36"/>
          <w:szCs w:val="36"/>
          <w:shd w:val="clear" w:color="auto" w:fill="FFFFFF"/>
          <w:lang w:val="en-US" w:eastAsia="zh-CN" w:bidi="ar"/>
        </w:rPr>
      </w:pPr>
      <w:r>
        <w:rPr>
          <w:rFonts w:hint="eastAsia" w:ascii="黑体" w:hAnsi="黑体" w:eastAsia="黑体" w:cs="黑体"/>
          <w:i w:val="0"/>
          <w:caps w:val="0"/>
          <w:color w:val="auto"/>
          <w:spacing w:val="0"/>
          <w:kern w:val="0"/>
          <w:sz w:val="36"/>
          <w:szCs w:val="36"/>
          <w:shd w:val="clear" w:color="auto" w:fill="FFFFFF"/>
          <w:lang w:val="en-US" w:eastAsia="zh-CN" w:bidi="ar"/>
        </w:rPr>
        <w:t>襄城县人民政府决定失效的行政规范性文件目录</w:t>
      </w:r>
    </w:p>
    <w:tbl>
      <w:tblPr>
        <w:tblStyle w:val="2"/>
        <w:tblpPr w:leftFromText="180" w:rightFromText="180" w:vertAnchor="text" w:horzAnchor="page" w:tblpX="925" w:tblpY="33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4790"/>
        <w:gridCol w:w="2727"/>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序号</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华文楷体" w:hAnsi="华文楷体" w:eastAsia="华文楷体" w:cs="华文楷体"/>
                <w:i w:val="0"/>
                <w:iCs w:val="0"/>
                <w:color w:val="auto"/>
                <w:sz w:val="24"/>
                <w:szCs w:val="24"/>
                <w:u w:val="none"/>
              </w:rPr>
            </w:pPr>
            <w:r>
              <w:rPr>
                <w:rFonts w:hint="eastAsia" w:ascii="华文楷体" w:hAnsi="华文楷体" w:eastAsia="华文楷体" w:cs="华文楷体"/>
                <w:i w:val="0"/>
                <w:iCs w:val="0"/>
                <w:color w:val="auto"/>
                <w:kern w:val="0"/>
                <w:sz w:val="24"/>
                <w:szCs w:val="24"/>
                <w:u w:val="none"/>
                <w:lang w:val="en-US" w:eastAsia="zh-CN" w:bidi="ar"/>
              </w:rPr>
              <w:t>文件名称</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华文楷体" w:hAnsi="华文楷体" w:eastAsia="华文楷体" w:cs="华文楷体"/>
                <w:i w:val="0"/>
                <w:iCs w:val="0"/>
                <w:color w:val="auto"/>
                <w:sz w:val="24"/>
                <w:szCs w:val="24"/>
                <w:u w:val="none"/>
              </w:rPr>
            </w:pPr>
            <w:r>
              <w:rPr>
                <w:rFonts w:hint="eastAsia" w:ascii="华文楷体" w:hAnsi="华文楷体" w:eastAsia="华文楷体" w:cs="华文楷体"/>
                <w:i w:val="0"/>
                <w:iCs w:val="0"/>
                <w:color w:val="auto"/>
                <w:kern w:val="0"/>
                <w:sz w:val="24"/>
                <w:szCs w:val="24"/>
                <w:u w:val="none"/>
                <w:lang w:val="en-US" w:eastAsia="zh-CN" w:bidi="ar"/>
              </w:rPr>
              <w:t>文号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华文楷体" w:hAnsi="华文楷体" w:eastAsia="华文楷体" w:cs="华文楷体"/>
                <w:i w:val="0"/>
                <w:iCs w:val="0"/>
                <w:color w:val="auto"/>
                <w:sz w:val="24"/>
                <w:szCs w:val="24"/>
                <w:u w:val="none"/>
              </w:rPr>
            </w:pPr>
            <w:r>
              <w:rPr>
                <w:rFonts w:hint="eastAsia" w:ascii="华文楷体" w:hAnsi="华文楷体" w:eastAsia="华文楷体" w:cs="华文楷体"/>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襄城县人民政府关于印发襄城县 2021 年度林业生态建设实施方案的通知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襄政〔2021〕1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襄城县人民政府办公室关于印发襄城县规范农村建筑工匠的管理细则的通知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襄政办〔2022〕1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关于进一步促进全县房地产市场平稳健康发展的通知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襄政〔2024〕1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襄城县人民政府办公室关于建立房地产融资协调机制的通知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襄政办〔2024〕1号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5</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襄城县人民政府关于转发许昌市人民政府转发河南省人民政府关于加强安全生产应急管理工作意见的通知的通知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襄政〔2012〕23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襄城县人民政府办公室关于做好城乡居民基本医疗保险征缴工作的通知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襄政办〔2023〕10号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7</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襄城县人民政府办公室关于做好有关行政强制规定和行政强制实施主体清理工作的通知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襄政办〔2011〕62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襄城县人民政府办公室关于印发襄城县规范性文件有效期制度和定期清理制度及襄城县重大行政决策实施情况跟踪反馈和后评估办法的通知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襄政办〔2014〕36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襄城县人民政府关于深化改革加强基层水产技术推广体系建设的实施意见</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襄政〔2013〕29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襄城县人民政府关于巩固提升五保集中供养率加强农村敬老院规范化管理工作意见</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襄政〔2010〕8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襄城县人民政府办公室关于印发襄城县遗漏抛洒物资运输车辆治理工作方案的通知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襄政办〔2010〕86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襄城县人民政府转发许昌市人民政府关于进一步促进中小微企业发展实施意见的通知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襄政〔2013〕25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襄城县人民政府关于进一步促进中小微企业发展的实施意见</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襄政〔2013〕34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 2013 年企业服务工作实施方案的通知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襄政办〔2013〕34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15</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襄城县人民政府办公室关于印发襄城县企业发展互助资金管理暂行办法的通知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襄政办〔2015〕34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襄城县人民政府关于加快众创众包众扶众筹发展的实施意见</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襄政〔2016〕21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襄城县人民政府办公室关于转发许昌市财政投资项目和资金管理办法通知的通知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襄政办〔2013〕15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4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襄城县人民政府办公室关于印发襄城县道路交通事故社会救助基金管理暂行办法的通知</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both"/>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襄政办〔2014〕45 号</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line="560" w:lineRule="exact"/>
              <w:jc w:val="center"/>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财政局</w:t>
            </w:r>
          </w:p>
        </w:tc>
      </w:tr>
    </w:tbl>
    <w:p>
      <w:pPr>
        <w:numPr>
          <w:ilvl w:val="0"/>
          <w:numId w:val="0"/>
        </w:numPr>
        <w:ind w:firstLine="640" w:firstLineChars="200"/>
        <w:jc w:val="left"/>
        <w:rPr>
          <w:rFonts w:hint="default"/>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1D9AA"/>
    <w:rsid w:val="7EFE9B36"/>
    <w:rsid w:val="BFF1D9AA"/>
    <w:rsid w:val="F6797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2025-07-15T17:46:00Z</dcterms:created>
  <dc:creator>huanghe</dc:creator>
  <cp:lastModifiedBy>huanghe</cp:lastModifiedBy>
  <dcterms:modified xsi:type="dcterms:W3CDTF">2025-07-15T09:49:49Z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