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A11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</w:p>
    <w:p w14:paraId="677AB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 w14:paraId="2C03D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化妆品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有关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制定项目</w:t>
      </w:r>
    </w:p>
    <w:p w14:paraId="5EBC4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9"/>
        <w:gridCol w:w="1320"/>
        <w:gridCol w:w="2535"/>
      </w:tblGrid>
      <w:tr w14:paraId="79BC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tblHeader/>
          <w:jc w:val="center"/>
        </w:trPr>
        <w:tc>
          <w:tcPr>
            <w:tcW w:w="4429" w:type="dxa"/>
            <w:noWrap w:val="0"/>
            <w:vAlign w:val="center"/>
          </w:tcPr>
          <w:p w14:paraId="705524D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项目名称</w:t>
            </w:r>
          </w:p>
        </w:tc>
        <w:tc>
          <w:tcPr>
            <w:tcW w:w="1320" w:type="dxa"/>
            <w:noWrap w:val="0"/>
            <w:vAlign w:val="center"/>
          </w:tcPr>
          <w:p w14:paraId="16E1B7D1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制修订</w:t>
            </w:r>
          </w:p>
          <w:p w14:paraId="250E73E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类型</w:t>
            </w:r>
          </w:p>
        </w:tc>
        <w:tc>
          <w:tcPr>
            <w:tcW w:w="2535" w:type="dxa"/>
            <w:noWrap w:val="0"/>
            <w:vAlign w:val="center"/>
          </w:tcPr>
          <w:p w14:paraId="557D218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承担项目的</w:t>
            </w:r>
          </w:p>
          <w:p w14:paraId="4A5B7861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标委会分技术委员会</w:t>
            </w:r>
          </w:p>
        </w:tc>
      </w:tr>
      <w:tr w14:paraId="794E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4429" w:type="dxa"/>
            <w:noWrap w:val="0"/>
            <w:vAlign w:val="center"/>
          </w:tcPr>
          <w:p w14:paraId="42C5B789">
            <w:pPr>
              <w:widowControl/>
              <w:spacing w:after="0" w:line="240" w:lineRule="auto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</w:rPr>
              <w:t>丁基乙酰氨基丙酸乙酯</w:t>
            </w:r>
          </w:p>
        </w:tc>
        <w:tc>
          <w:tcPr>
            <w:tcW w:w="1320" w:type="dxa"/>
            <w:noWrap w:val="0"/>
            <w:vAlign w:val="center"/>
          </w:tcPr>
          <w:p w14:paraId="2FEC00FF">
            <w:pPr>
              <w:widowControl/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制定</w:t>
            </w:r>
          </w:p>
        </w:tc>
        <w:tc>
          <w:tcPr>
            <w:tcW w:w="2535" w:type="dxa"/>
            <w:noWrap w:val="0"/>
            <w:vAlign w:val="center"/>
          </w:tcPr>
          <w:p w14:paraId="794F7138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通用技术要求</w:t>
            </w:r>
          </w:p>
          <w:p w14:paraId="63979CB2">
            <w:pPr>
              <w:widowControl/>
              <w:spacing w:line="320" w:lineRule="exact"/>
              <w:jc w:val="center"/>
              <w:rPr>
                <w:rFonts w:eastAsia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eastAsia="仿宋_GB2312"/>
                <w:sz w:val="24"/>
              </w:rPr>
              <w:t>分技术委员会</w:t>
            </w:r>
          </w:p>
        </w:tc>
      </w:tr>
    </w:tbl>
    <w:p w14:paraId="4A499EA7">
      <w:pPr>
        <w:rPr>
          <w:rFonts w:hint="eastAsia" w:ascii="仿宋_GB2312" w:eastAsia="仿宋_GB2312"/>
          <w:sz w:val="28"/>
          <w:szCs w:val="28"/>
        </w:rPr>
      </w:pPr>
    </w:p>
    <w:p w14:paraId="3B615803">
      <w:pPr>
        <w:rPr>
          <w:rFonts w:hint="eastAsia" w:ascii="仿宋_GB2312" w:eastAsia="仿宋_GB2312"/>
          <w:sz w:val="28"/>
          <w:szCs w:val="28"/>
          <w:lang w:eastAsia="zh-CN"/>
        </w:rPr>
      </w:pPr>
    </w:p>
    <w:p w14:paraId="11F43FAF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531" w:bottom="1814" w:left="1531" w:header="851" w:footer="1361" w:gutter="0"/>
      <w:pgNumType w:start="1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4067D">
    <w:pPr>
      <w:pStyle w:val="2"/>
      <w:wordWrap w:val="0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E2F39">
                          <w:pPr>
                            <w:pStyle w:val="2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08E2F39">
                    <w:pPr>
                      <w:pStyle w:val="2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37EAE6">
    <w:pPr>
      <w:pStyle w:val="2"/>
      <w:ind w:firstLine="280" w:firstLine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AF50DA"/>
    <w:rsid w:val="26A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2026-06-26T02:40:00Z</dcterms:created>
  <dc:creator>新祺</dc:creator>
  <cp:lastModifiedBy>新祺</cp:lastModifiedBy>
  <dcterms:modified xsi:type="dcterms:W3CDTF">2026-06-26T02:42:23Z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B9CA4B87D0404107BC2E8F51E3E51BBC_11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