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keepNext w:val="false"/>
        <w:keepLines w:val="false"/>
        <w:pageBreakBefore w:val="false"/>
        <w:widowControl/>
        <w:suppressLineNumbers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600"/>
        <w:ind w:left="0" w:right="0" w:firstLine="0"/>
        <w:jc w:val="center"/>
        <w:textAlignment w:val="auto"/>
        <w:rPr>
          <w:rFonts w:ascii="微软雅黑" w:cs="微软雅黑" w:eastAsia="微软雅黑" w:hAnsi="微软雅黑" w:hint="eastAsia"/>
          <w:b/>
          <w:bCs/>
          <w:w w:val="100"/>
          <w:sz w:val="44"/>
          <w:szCs w:val="44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w w:val="100"/>
          <w:sz w:val="44"/>
          <w:szCs w:val="44"/>
          <w:lang w:val="en-US" w:eastAsia="zh-CN"/>
        </w:rPr>
        <w:t>统筹抓实“334”新机制</w:t>
      </w:r>
    </w:p>
    <w:p>
      <w:pPr>
        <w:pStyle w:val="style2"/>
        <w:keepNext w:val="false"/>
        <w:keepLines w:val="false"/>
        <w:pageBreakBefore w:val="false"/>
        <w:widowControl/>
        <w:suppressLineNumbers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600"/>
        <w:ind w:left="0" w:right="0" w:firstLine="0"/>
        <w:jc w:val="center"/>
        <w:textAlignment w:val="auto"/>
        <w:rPr>
          <w:rFonts w:ascii="楷体_GB2312" w:eastAsia="楷体_GB2312"/>
          <w:spacing w:val="11"/>
          <w:w w:val="101"/>
          <w:sz w:val="31"/>
        </w:rPr>
      </w:pPr>
      <w:r>
        <w:rPr>
          <w:rFonts w:ascii="微软雅黑" w:cs="微软雅黑" w:eastAsia="微软雅黑" w:hAnsi="微软雅黑" w:hint="eastAsia"/>
          <w:b/>
          <w:bCs/>
          <w:i w:val="false"/>
          <w:iCs w:val="false"/>
          <w:caps w:val="false"/>
          <w:color w:val="252525"/>
          <w:spacing w:val="0"/>
          <w:w w:val="100"/>
          <w:sz w:val="44"/>
          <w:szCs w:val="44"/>
          <w:shd w:val="clear" w:color="auto" w:fill="ffffff"/>
        </w:rPr>
        <w:t>以精致城市环境助力</w:t>
      </w:r>
      <w:r>
        <w:rPr>
          <w:rFonts w:ascii="微软雅黑" w:cs="微软雅黑" w:eastAsia="微软雅黑" w:hAnsi="微软雅黑" w:hint="eastAsia"/>
          <w:b/>
          <w:bCs/>
          <w:i w:val="false"/>
          <w:iCs w:val="false"/>
          <w:caps w:val="false"/>
          <w:color w:val="252525"/>
          <w:spacing w:val="0"/>
          <w:w w:val="100"/>
          <w:sz w:val="44"/>
          <w:szCs w:val="44"/>
          <w:shd w:val="clear" w:color="auto" w:fill="ffffff"/>
          <w:lang w:eastAsia="zh-CN"/>
        </w:rPr>
        <w:t>襄城经济</w:t>
      </w:r>
      <w:r>
        <w:rPr>
          <w:rFonts w:ascii="微软雅黑" w:cs="微软雅黑" w:eastAsia="微软雅黑" w:hAnsi="微软雅黑" w:hint="eastAsia"/>
          <w:b/>
          <w:bCs/>
          <w:i w:val="false"/>
          <w:iCs w:val="false"/>
          <w:caps w:val="false"/>
          <w:color w:val="252525"/>
          <w:spacing w:val="0"/>
          <w:w w:val="100"/>
          <w:sz w:val="44"/>
          <w:szCs w:val="44"/>
          <w:shd w:val="clear" w:color="auto" w:fill="ffffff"/>
        </w:rPr>
        <w:t>高质量发展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both"/>
        <w:textAlignment w:val="auto"/>
        <w:rPr>
          <w:rFonts w:ascii="楷体_GB2312" w:eastAsia="楷体_GB2312"/>
          <w:spacing w:val="11"/>
          <w:w w:val="101"/>
          <w:sz w:val="3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90" w:firstLineChars="200"/>
        <w:jc w:val="both"/>
        <w:textAlignment w:val="auto"/>
        <w:rPr>
          <w:rFonts w:ascii="仿宋" w:cs="仿宋" w:eastAsia="仿宋" w:hAnsi="仿宋" w:hint="eastAsia"/>
          <w:spacing w:val="11"/>
          <w:w w:val="101"/>
          <w:sz w:val="31"/>
        </w:rPr>
      </w:pPr>
      <w:r>
        <w:rPr>
          <w:rFonts w:eastAsia="仿宋_GB2312" w:hint="eastAsia"/>
          <w:spacing w:val="11"/>
          <w:w w:val="101"/>
          <w:sz w:val="32"/>
          <w:szCs w:val="32"/>
          <w:lang w:eastAsia="zh-CN"/>
        </w:rPr>
        <w:t>今年以来，</w:t>
      </w:r>
      <w:r>
        <w:rPr>
          <w:rFonts w:eastAsia="仿宋_GB2312"/>
          <w:spacing w:val="11"/>
          <w:w w:val="101"/>
          <w:sz w:val="32"/>
          <w:szCs w:val="32"/>
        </w:rPr>
        <w:t>在</w:t>
      </w:r>
      <w:r>
        <w:rPr>
          <w:rFonts w:eastAsia="仿宋_GB2312" w:hint="eastAsia"/>
          <w:spacing w:val="11"/>
          <w:w w:val="101"/>
          <w:sz w:val="32"/>
          <w:szCs w:val="32"/>
          <w:lang w:eastAsia="zh-CN"/>
        </w:rPr>
        <w:t>县</w:t>
      </w:r>
      <w:r>
        <w:rPr>
          <w:rFonts w:eastAsia="仿宋_GB2312"/>
          <w:spacing w:val="11"/>
          <w:w w:val="101"/>
          <w:sz w:val="32"/>
          <w:szCs w:val="32"/>
        </w:rPr>
        <w:t>委、</w:t>
      </w:r>
      <w:r>
        <w:rPr>
          <w:rFonts w:eastAsia="仿宋_GB2312" w:hint="eastAsia"/>
          <w:spacing w:val="11"/>
          <w:w w:val="101"/>
          <w:sz w:val="32"/>
          <w:szCs w:val="32"/>
          <w:lang w:eastAsia="zh-CN"/>
        </w:rPr>
        <w:t>县</w:t>
      </w:r>
      <w:r>
        <w:rPr>
          <w:rFonts w:eastAsia="仿宋_GB2312"/>
          <w:spacing w:val="11"/>
          <w:w w:val="101"/>
          <w:sz w:val="32"/>
          <w:szCs w:val="32"/>
        </w:rPr>
        <w:t>政府的坚强领导下，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县城管服务中心</w:t>
      </w:r>
      <w:r>
        <w:rPr>
          <w:rFonts w:eastAsia="仿宋_GB2312"/>
          <w:spacing w:val="11"/>
          <w:w w:val="101"/>
          <w:sz w:val="32"/>
          <w:szCs w:val="32"/>
        </w:rPr>
        <w:t>以城市城市精细化管理为抓手，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锚定目标、精管善治，</w:t>
      </w:r>
      <w:r>
        <w:rPr>
          <w:rFonts w:ascii="仿宋" w:cs="仿宋" w:eastAsia="仿宋" w:hAnsi="仿宋" w:hint="eastAsia"/>
          <w:w w:val="101"/>
          <w:sz w:val="32"/>
          <w:szCs w:val="32"/>
        </w:rPr>
        <w:t>多措并举、多点发力，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强短板、补弱项、促提升，</w:t>
      </w:r>
      <w:r>
        <w:rPr>
          <w:rFonts w:ascii="仿宋" w:cs="仿宋" w:eastAsia="仿宋" w:hAnsi="仿宋" w:hint="eastAsia"/>
          <w:w w:val="101"/>
          <w:sz w:val="32"/>
          <w:szCs w:val="32"/>
        </w:rPr>
        <w:t>努力实现城市管理工作高质量发展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  <w:u w:val="none"/>
          <w:lang w:val="en-US" w:eastAsia="zh-CN"/>
        </w:rPr>
        <w:t>提升了城市美感，彰显了精品特色，展示了襄城形象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在全市第一季度综合考评排名中，以总分排名</w:t>
      </w:r>
      <w:r>
        <w:rPr>
          <w:rFonts w:ascii="仿宋" w:cs="仿宋" w:eastAsia="仿宋" w:hAnsi="仿宋" w:hint="eastAsia"/>
          <w:w w:val="101"/>
          <w:sz w:val="32"/>
          <w:lang w:val="en-US" w:eastAsia="zh-CN"/>
        </w:rPr>
        <w:t>位居全市县市组第一。我们的主要做法：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0"/>
        <w:jc w:val="both"/>
        <w:textAlignment w:val="auto"/>
        <w:rPr>
          <w:rFonts w:ascii="仿宋" w:cs="仿宋" w:eastAsia="仿宋" w:hAnsi="仿宋" w:hint="eastAsia"/>
          <w:w w:val="101"/>
          <w:sz w:val="32"/>
          <w:szCs w:val="32"/>
        </w:rPr>
      </w:pP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</w:rPr>
        <w:t>一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eastAsia="zh-CN"/>
        </w:rPr>
        <w:t>、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统筹抓实“三级责任”，促进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eastAsia="zh-CN"/>
        </w:rPr>
        <w:t>上下联动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val="en-US" w:eastAsia="zh-CN"/>
        </w:rPr>
        <w:t>一是履行领导责任。</w:t>
      </w:r>
      <w:r>
        <w:rPr>
          <w:rFonts w:ascii="仿宋" w:cs="仿宋" w:eastAsia="仿宋" w:hAnsi="仿宋" w:hint="eastAsia"/>
          <w:w w:val="101"/>
          <w:sz w:val="32"/>
          <w:szCs w:val="32"/>
        </w:rPr>
        <w:t>聚焦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城市管理难点、痛点、堵点问题</w:t>
      </w:r>
      <w:r>
        <w:rPr>
          <w:rFonts w:ascii="仿宋" w:cs="仿宋" w:eastAsia="仿宋" w:hAnsi="仿宋" w:hint="eastAsia"/>
          <w:w w:val="101"/>
          <w:sz w:val="32"/>
          <w:szCs w:val="32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</w:rPr>
        <w:t>高规格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成立</w:t>
      </w:r>
      <w:r>
        <w:rPr>
          <w:rFonts w:ascii="仿宋" w:cs="仿宋" w:eastAsia="仿宋" w:hAnsi="仿宋" w:hint="eastAsia"/>
          <w:w w:val="101"/>
          <w:sz w:val="32"/>
          <w:szCs w:val="32"/>
        </w:rPr>
        <w:t>“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指挥部</w:t>
      </w:r>
      <w:r>
        <w:rPr>
          <w:rFonts w:ascii="仿宋" w:cs="仿宋" w:eastAsia="仿宋" w:hAnsi="仿宋" w:hint="eastAsia"/>
          <w:w w:val="101"/>
          <w:sz w:val="32"/>
          <w:szCs w:val="32"/>
        </w:rPr>
        <w:t>”，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中心</w:t>
      </w:r>
      <w:r>
        <w:rPr>
          <w:rFonts w:ascii="仿宋" w:cs="仿宋" w:eastAsia="仿宋" w:hAnsi="仿宋" w:hint="eastAsia"/>
          <w:color w:val="auto"/>
          <w:w w:val="101"/>
          <w:sz w:val="32"/>
          <w:szCs w:val="32"/>
          <w:lang w:val="en-US" w:eastAsia="zh-CN"/>
        </w:rPr>
        <w:t>党委书记、主任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挂帅，主管领导出征</w:t>
      </w:r>
      <w:bookmarkStart w:id="0" w:name="_GoBack"/>
      <w:bookmarkEnd w:id="0"/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</w:rPr>
        <w:t>研究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制定了</w:t>
      </w:r>
      <w:r>
        <w:rPr>
          <w:rFonts w:ascii="仿宋" w:cs="仿宋" w:eastAsia="仿宋" w:hAnsi="仿宋" w:hint="eastAsia"/>
          <w:color w:val="auto"/>
          <w:w w:val="101"/>
          <w:kern w:val="0"/>
          <w:sz w:val="32"/>
          <w:szCs w:val="32"/>
          <w:lang w:val="en-US" w:eastAsia="zh-CN"/>
        </w:rPr>
        <w:t>《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襄城县</w:t>
      </w:r>
      <w:r>
        <w:rPr>
          <w:rFonts w:ascii="仿宋" w:cs="仿宋" w:eastAsia="仿宋" w:hAnsi="仿宋" w:hint="eastAsia"/>
          <w:w w:val="101"/>
          <w:sz w:val="32"/>
          <w:szCs w:val="32"/>
        </w:rPr>
        <w:t>城市精细化管理提升实施方案</w:t>
      </w:r>
      <w:r>
        <w:rPr>
          <w:rFonts w:ascii="仿宋" w:cs="仿宋" w:eastAsia="仿宋" w:hAnsi="仿宋" w:hint="eastAsia"/>
          <w:color w:val="auto"/>
          <w:w w:val="101"/>
          <w:kern w:val="0"/>
          <w:sz w:val="32"/>
          <w:szCs w:val="32"/>
          <w:lang w:val="en-US" w:eastAsia="zh-CN"/>
        </w:rPr>
        <w:t>》《</w:t>
      </w:r>
      <w:r>
        <w:rPr>
          <w:rFonts w:ascii="仿宋" w:cs="仿宋" w:eastAsia="仿宋" w:hAnsi="仿宋" w:hint="eastAsia"/>
          <w:w w:val="101"/>
          <w:sz w:val="32"/>
          <w:szCs w:val="32"/>
        </w:rPr>
        <w:t>襄城县城市环境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“</w:t>
      </w:r>
      <w:r>
        <w:rPr>
          <w:rFonts w:ascii="仿宋" w:cs="仿宋" w:eastAsia="仿宋" w:hAnsi="仿宋" w:hint="eastAsia"/>
          <w:w w:val="101"/>
          <w:sz w:val="32"/>
          <w:szCs w:val="32"/>
        </w:rPr>
        <w:t>清洁行动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”工作</w:t>
      </w:r>
      <w:r>
        <w:rPr>
          <w:rFonts w:ascii="仿宋" w:cs="仿宋" w:eastAsia="仿宋" w:hAnsi="仿宋" w:hint="eastAsia"/>
          <w:w w:val="101"/>
          <w:sz w:val="32"/>
          <w:szCs w:val="32"/>
        </w:rPr>
        <w:t>方案</w:t>
      </w:r>
      <w:r>
        <w:rPr>
          <w:rFonts w:ascii="仿宋" w:cs="仿宋" w:eastAsia="仿宋" w:hAnsi="仿宋" w:hint="eastAsia"/>
          <w:color w:val="auto"/>
          <w:w w:val="101"/>
          <w:kern w:val="0"/>
          <w:sz w:val="32"/>
          <w:szCs w:val="32"/>
          <w:lang w:val="en-US" w:eastAsia="zh-CN"/>
        </w:rPr>
        <w:t>》《关于南园区道路环境卫生质量提升的工作方案》《关于城中村及城乡结合部环境整治的实施方案》等配套文件</w:t>
      </w:r>
      <w:r>
        <w:rPr>
          <w:rFonts w:ascii="仿宋" w:cs="仿宋" w:eastAsia="仿宋" w:hAnsi="仿宋" w:hint="eastAsia"/>
          <w:w w:val="101"/>
          <w:sz w:val="32"/>
          <w:szCs w:val="32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统筹推进、规范运作，形成</w:t>
      </w:r>
      <w:r>
        <w:rPr>
          <w:rFonts w:ascii="仿宋" w:cs="仿宋" w:eastAsia="仿宋" w:hAnsi="仿宋" w:hint="eastAsia"/>
          <w:w w:val="101"/>
          <w:sz w:val="32"/>
          <w:szCs w:val="32"/>
        </w:rPr>
        <w:t>了一套真抓实干的领导和运作机制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val="en-US" w:eastAsia="zh-CN"/>
        </w:rPr>
        <w:t>二是履行网格责任。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以紫云大道为界，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</w:rPr>
        <w:t>发挥“城市管理一张图”网格模式，</w:t>
      </w:r>
      <w:r>
        <w:rPr>
          <w:rFonts w:ascii="仿宋" w:cs="仿宋" w:eastAsia="仿宋" w:hAnsi="仿宋" w:hint="eastAsia"/>
          <w:w w:val="101"/>
          <w:sz w:val="32"/>
          <w:szCs w:val="32"/>
        </w:rPr>
        <w:t>将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城区主次干道、背街小巷、城乡结合部环卫清扫保洁区域划分为东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区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、西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区2大管区28个单元网格，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eastAsia="zh-CN"/>
        </w:rPr>
        <w:t>抓实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</w:rPr>
        <w:t>“马路办公”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eastAsia="zh-CN"/>
        </w:rPr>
        <w:t>新举措，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网格内全天候开展全要素巡查，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eastAsia="zh-CN"/>
        </w:rPr>
        <w:t>班子成员一线领着干，一线人员跟着干，践行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</w:rPr>
        <w:t>“出门就上班、随处查问题”工作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eastAsia="zh-CN"/>
        </w:rPr>
        <w:t>理念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因路施策、分类整治，</w:t>
      </w:r>
      <w:r>
        <w:rPr>
          <w:rFonts w:ascii="仿宋" w:cs="仿宋" w:eastAsia="仿宋" w:hAnsi="仿宋" w:hint="eastAsia"/>
          <w:w w:val="101"/>
          <w:sz w:val="32"/>
          <w:szCs w:val="32"/>
        </w:rPr>
        <w:t>任务落实到单位，责任具体到个人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做到“人到一线去、事在一线办、难在一线解”，把群众诉求解决在一线。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val="en-US" w:eastAsia="zh-CN"/>
        </w:rPr>
        <w:t>三是履行路段责任。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梳理城乡接合部、背街小巷垃圾桶溢满、卫生死角清理难等城市管理“堵点难点痛点”问题，建立“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</w:rPr>
        <w:t>5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分钟内响应，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</w:rPr>
        <w:t>15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分钟内到场处置并反馈，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</w:rPr>
        <w:t>30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分钟保障兜底”的处理机制，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实施挂图作战，形成问题清单，对标进行销号，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w w:val="101"/>
          <w:sz w:val="32"/>
          <w:szCs w:val="32"/>
          <w:shd w:val="clear" w:color="auto" w:fill="ffffff"/>
          <w:lang w:eastAsia="zh-CN"/>
        </w:rPr>
        <w:t>坚持“一路一册”、“一点位一方案”，确保市容环卫问题“即发现即消灭”，有效保障城市卫生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</w:rPr>
        <w:t>纵深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推进</w:t>
      </w:r>
      <w:r>
        <w:rPr>
          <w:rFonts w:ascii="仿宋" w:cs="仿宋" w:eastAsia="仿宋" w:hAnsi="仿宋" w:hint="eastAsia"/>
          <w:w w:val="101"/>
          <w:sz w:val="32"/>
          <w:szCs w:val="32"/>
        </w:rPr>
        <w:t>环境卫生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更</w:t>
      </w:r>
      <w:r>
        <w:rPr>
          <w:rFonts w:ascii="仿宋" w:cs="仿宋" w:eastAsia="仿宋" w:hAnsi="仿宋" w:hint="eastAsia"/>
          <w:w w:val="101"/>
          <w:sz w:val="32"/>
          <w:szCs w:val="32"/>
        </w:rPr>
        <w:t>精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、更</w:t>
      </w:r>
      <w:r>
        <w:rPr>
          <w:rFonts w:ascii="仿宋" w:cs="仿宋" w:eastAsia="仿宋" w:hAnsi="仿宋" w:hint="eastAsia"/>
          <w:w w:val="101"/>
          <w:sz w:val="32"/>
          <w:szCs w:val="32"/>
        </w:rPr>
        <w:t>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0"/>
        <w:jc w:val="both"/>
        <w:textAlignment w:val="auto"/>
        <w:rPr>
          <w:rFonts w:ascii="仿宋" w:cs="仿宋" w:eastAsia="仿宋" w:hAnsi="仿宋" w:hint="eastAsia"/>
          <w:w w:val="101"/>
          <w:sz w:val="32"/>
          <w:szCs w:val="32"/>
        </w:rPr>
      </w:pP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二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eastAsia="zh-CN"/>
        </w:rPr>
        <w:t>、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统筹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抓实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“三条渠道”，从严督查考评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val="en-US" w:eastAsia="zh-CN"/>
        </w:rPr>
        <w:t>。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val="en-US" w:eastAsia="zh-CN"/>
        </w:rPr>
        <w:t>一是投诉受理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。借助微信群、网络等媒体，对城市管理热点难点问题接受群众投诉和监督，并启动督查督办、跟踪问责机制，增强了部门、企业、市民的积极主动性。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val="en-US" w:eastAsia="zh-CN"/>
        </w:rPr>
        <w:t>二是督查整改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。</w:t>
      </w:r>
      <w:r>
        <w:rPr>
          <w:rFonts w:ascii="仿宋" w:cs="仿宋" w:eastAsia="仿宋" w:hAnsi="仿宋" w:hint="eastAsia"/>
          <w:w w:val="101"/>
          <w:sz w:val="32"/>
          <w:szCs w:val="32"/>
        </w:rPr>
        <w:t>进一步加强领导班子带班督查、考核办专业督查、区域内部督查“三层督查”考核，领导班子轮流带班抽查，督查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室</w:t>
      </w:r>
      <w:r>
        <w:rPr>
          <w:rFonts w:ascii="仿宋" w:cs="仿宋" w:eastAsia="仿宋" w:hAnsi="仿宋" w:hint="eastAsia"/>
          <w:w w:val="101"/>
          <w:sz w:val="32"/>
          <w:szCs w:val="32"/>
        </w:rPr>
        <w:t>常态化巡回督查，区长（队长）带队，全天督查指导，重点对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环卫作业</w:t>
      </w:r>
      <w:r>
        <w:rPr>
          <w:rFonts w:ascii="仿宋" w:cs="仿宋" w:eastAsia="仿宋" w:hAnsi="仿宋" w:hint="eastAsia"/>
          <w:w w:val="101"/>
          <w:sz w:val="32"/>
          <w:szCs w:val="32"/>
        </w:rPr>
        <w:t>落实情况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、环卫人员在岗作为</w:t>
      </w:r>
      <w:r>
        <w:rPr>
          <w:rFonts w:ascii="仿宋" w:cs="仿宋" w:eastAsia="仿宋" w:hAnsi="仿宋" w:hint="eastAsia"/>
          <w:w w:val="101"/>
          <w:sz w:val="32"/>
          <w:szCs w:val="32"/>
        </w:rPr>
        <w:t>进行督查，做到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片区之间、网格之间、路段之间</w:t>
      </w:r>
      <w:r>
        <w:rPr>
          <w:rFonts w:ascii="仿宋" w:cs="仿宋" w:eastAsia="仿宋" w:hAnsi="仿宋" w:hint="eastAsia"/>
          <w:w w:val="101"/>
          <w:sz w:val="32"/>
          <w:szCs w:val="32"/>
        </w:rPr>
        <w:t>相互对比、彼此监督、整体提升，避免了人员懒散、在岗不作为、管理成效不明显等突出问题，破解城市管理难题，提高了城市管理精细化、科学化水平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，</w:t>
      </w:r>
      <w:r>
        <w:rPr>
          <w:rFonts w:ascii="仿宋" w:cs="仿宋" w:eastAsia="仿宋" w:hAnsi="仿宋" w:hint="eastAsia"/>
          <w:w w:val="101"/>
          <w:sz w:val="32"/>
          <w:szCs w:val="32"/>
        </w:rPr>
        <w:t>为</w:t>
      </w:r>
      <w:r>
        <w:rPr>
          <w:rFonts w:ascii="仿宋" w:cs="仿宋" w:eastAsia="仿宋" w:hAnsi="仿宋" w:hint="eastAsia"/>
          <w:w w:val="101"/>
          <w:sz w:val="32"/>
          <w:szCs w:val="32"/>
          <w:lang w:eastAsia="zh-CN"/>
        </w:rPr>
        <w:t>扎实推进城市</w:t>
      </w:r>
      <w:r>
        <w:rPr>
          <w:rFonts w:ascii="仿宋" w:cs="仿宋" w:eastAsia="仿宋" w:hAnsi="仿宋" w:hint="eastAsia"/>
          <w:w w:val="101"/>
          <w:sz w:val="32"/>
          <w:szCs w:val="32"/>
        </w:rPr>
        <w:t>管理探索了路子，积累了经验。</w:t>
      </w:r>
      <w:r>
        <w:rPr>
          <w:rFonts w:ascii="仿宋" w:cs="仿宋" w:eastAsia="仿宋" w:hAnsi="仿宋" w:hint="eastAsia"/>
          <w:b/>
          <w:bCs/>
          <w:w w:val="101"/>
          <w:sz w:val="32"/>
          <w:szCs w:val="32"/>
          <w:lang w:val="en-US" w:eastAsia="zh-CN"/>
        </w:rPr>
        <w:t>三是数字城管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。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发挥高位监督、高位协调、高位指挥作用,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深入开展卫生死角、乱倒垃圾、桶外垃圾等问题专项普查整改，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构建了“管理平台+数字网格+信息调度+监督考评”的运行体系，日均处理“城市病”170余件次，结案率长期保持9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9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%以上，较好回应了群众诉求，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一大批城市管理热点、难点问题得到有效解决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0"/>
        <w:textAlignment w:val="auto"/>
        <w:rPr>
          <w:rFonts w:ascii="仿宋" w:cs="仿宋" w:eastAsia="仿宋" w:hAnsi="仿宋" w:hint="eastAsia"/>
          <w:w w:val="101"/>
          <w:sz w:val="32"/>
          <w:szCs w:val="32"/>
        </w:rPr>
      </w:pP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eastAsia="zh-CN"/>
        </w:rPr>
        <w:t>三、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统筹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抓实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“四项整治”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eastAsia="zh-CN"/>
        </w:rPr>
        <w:t>，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val="en-US" w:eastAsia="zh-CN"/>
        </w:rPr>
        <w:t>提升城市</w:t>
      </w:r>
      <w:r>
        <w:rPr>
          <w:rFonts w:ascii="微软雅黑" w:cs="微软雅黑" w:eastAsia="微软雅黑" w:hAnsi="微软雅黑" w:hint="eastAsia"/>
          <w:b/>
          <w:bCs/>
          <w:w w:val="101"/>
          <w:sz w:val="32"/>
          <w:szCs w:val="32"/>
          <w:lang w:eastAsia="zh-CN"/>
        </w:rPr>
        <w:t>颜值。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val="en-US" w:eastAsia="zh-CN"/>
        </w:rPr>
        <w:t>一是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eastAsia="zh-CN"/>
        </w:rPr>
        <w:t>交通秩序“治堵”</w:t>
      </w:r>
      <w:r>
        <w:rPr>
          <w:rFonts w:ascii="华文楷体" w:cs="华文楷体" w:eastAsia="华文楷体" w:hAnsi="华文楷体" w:hint="eastAsia"/>
          <w:b/>
          <w:bCs/>
          <w:w w:val="101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先后施划非机动车停车位4.8万米，清理非机动车乱停乱放1200余辆（次），取缔一峰城市广场门口、新华路夜市摊点占道130余个，</w:t>
      </w:r>
      <w:r>
        <w:rPr>
          <w:rFonts w:ascii="仿宋" w:cs="仿宋" w:eastAsia="仿宋" w:hAnsi="仿宋" w:hint="eastAsia"/>
          <w:w w:val="101"/>
          <w:sz w:val="32"/>
          <w:szCs w:val="32"/>
        </w:rPr>
        <w:t>城区道路通行状况明显好转。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val="en-US" w:eastAsia="zh-CN"/>
        </w:rPr>
        <w:t>二是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eastAsia="zh-CN"/>
        </w:rPr>
        <w:t>餐饮油烟“治污”</w:t>
      </w:r>
      <w:r>
        <w:rPr>
          <w:rFonts w:ascii="楷体" w:cs="楷体" w:eastAsia="楷体" w:hAnsi="楷体" w:hint="eastAsia"/>
          <w:w w:val="101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紧盯重点地段、重点单位，做好常态巡查，建成区内468家餐饮经营门店、食堂均已列入动态管理台账，净化设施安装率100%，共督促整改178家，处罚违规餐饮门店4家，有效解决了餐饮油烟污染、扰民问题。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val="en-US" w:eastAsia="zh-CN"/>
        </w:rPr>
        <w:t>三是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eastAsia="zh-CN"/>
        </w:rPr>
        <w:t>环境卫生“治脏”</w:t>
      </w:r>
      <w:r>
        <w:rPr>
          <w:rFonts w:eastAsia="黑体" w:hint="eastAsia"/>
          <w:w w:val="101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w w:val="101"/>
          <w:sz w:val="32"/>
          <w:szCs w:val="32"/>
          <w:lang w:val="en-US" w:eastAsia="zh-CN"/>
        </w:rPr>
        <w:t>分类完善三类道路作业标准，坚持走动式、巡回式保洁，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通过“主次干道2洗3冲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+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背街小巷2洗2冲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+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车巡+人工”的巡回保洁，融合吸尘、洗扫、冲水“三结合”，</w:t>
      </w:r>
      <w:r>
        <w:rPr>
          <w:rFonts w:ascii="仿宋" w:eastAsia="仿宋" w:hAnsi="仿宋" w:hint="eastAsia"/>
          <w:w w:val="101"/>
          <w:sz w:val="32"/>
          <w:szCs w:val="32"/>
          <w:lang w:val="en-US" w:eastAsia="zh-CN"/>
        </w:rPr>
        <w:t>做到保洁、保湿、保净“三到位”，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提升了保洁质量，</w:t>
      </w:r>
      <w:r>
        <w:rPr>
          <w:rFonts w:ascii="仿宋" w:eastAsia="仿宋" w:hAnsi="仿宋" w:hint="eastAsia"/>
          <w:w w:val="101"/>
          <w:sz w:val="32"/>
          <w:szCs w:val="32"/>
          <w:lang w:val="en-US" w:eastAsia="zh-CN"/>
        </w:rPr>
        <w:t>达到了路见本色效果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进一步加强中转站布局、垃圾箱分布、垃圾桶数量、垃圾量运途等基础信息的测实比对，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每天早上4点至晚上5点，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将人力、车辆合理调整，将工作、时效标准提升，通过巡查发现、“微信群”调度等方式，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及时通知清运车司机解决到位，</w:t>
      </w:r>
      <w:r>
        <w:rPr>
          <w:rFonts w:ascii="仿宋" w:cs="仿宋" w:eastAsia="仿宋" w:hAnsi="仿宋" w:hint="eastAsia"/>
          <w:b w:val="false"/>
          <w:bCs w:val="false"/>
          <w:w w:val="101"/>
          <w:sz w:val="32"/>
          <w:szCs w:val="32"/>
          <w:lang w:val="en-US" w:eastAsia="zh-CN"/>
        </w:rPr>
        <w:t>保证生活垃圾日产日清、无积存。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持续加大巡回清运，做到垃圾日产日清，城区生活垃圾从车辆收集、运输、中转站压缩转运，都坚持封闭运输、封闭作业，有效避免了清运、压缩中转和转运过程中抛洒漏滴等二次污染问题。目前，日均清运垃圾130吨左右，压缩转运率、密闭运输率均达100%</w:t>
      </w:r>
      <w:r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  <w:t>。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val="en-US" w:eastAsia="zh-CN"/>
        </w:rPr>
        <w:t>四是</w:t>
      </w:r>
      <w:r>
        <w:rPr>
          <w:rFonts w:ascii="楷体" w:cs="楷体" w:eastAsia="楷体" w:hAnsi="楷体" w:hint="eastAsia"/>
          <w:b/>
          <w:bCs/>
          <w:w w:val="101"/>
          <w:sz w:val="32"/>
          <w:szCs w:val="32"/>
          <w:lang w:eastAsia="zh-CN"/>
        </w:rPr>
        <w:t>市容秩序“治差”。</w:t>
      </w:r>
      <w:r>
        <w:rPr>
          <w:rFonts w:ascii="仿宋" w:cs="仿宋" w:eastAsia="仿宋" w:hAnsi="仿宋" w:hint="eastAsia"/>
          <w:b w:val="false"/>
          <w:bCs w:val="false"/>
          <w:w w:val="101"/>
          <w:kern w:val="2"/>
          <w:sz w:val="32"/>
          <w:szCs w:val="32"/>
          <w:shd w:val="clear" w:color="auto" w:fill="ffffff"/>
          <w:lang w:val="en-US" w:eastAsia="zh-CN"/>
        </w:rPr>
        <w:t>按照“主干道严禁、次干道规范，背街小巷有序”的原则，综合</w:t>
      </w:r>
      <w:r>
        <w:rPr>
          <w:rFonts w:ascii="仿宋" w:cs="仿宋" w:eastAsia="仿宋" w:hAnsi="仿宋" w:hint="eastAsia"/>
          <w:b w:val="false"/>
          <w:bCs w:val="false"/>
          <w:w w:val="101"/>
          <w:kern w:val="2"/>
          <w:sz w:val="32"/>
          <w:szCs w:val="32"/>
          <w:shd w:val="clear" w:color="auto" w:fill="ffffff"/>
          <w:lang w:val="en-US" w:eastAsia="zh-CN"/>
        </w:rPr>
        <w:t>运用“徒步执法”的有效方式，坚持从实际出发，按客观规律办事，自上而下，由表及里、由浅入深，全面提高工作标准，</w:t>
      </w:r>
      <w:r>
        <w:rPr>
          <w:rFonts w:ascii="仿宋" w:cs="仿宋" w:eastAsia="仿宋" w:hAnsi="仿宋" w:hint="eastAsia"/>
          <w:b w:val="false"/>
          <w:bCs w:val="false"/>
          <w:i w:val="false"/>
          <w:caps w:val="false"/>
          <w:color w:val="000000"/>
          <w:spacing w:val="0"/>
          <w:w w:val="101"/>
          <w:kern w:val="2"/>
          <w:sz w:val="32"/>
          <w:szCs w:val="32"/>
          <w:shd w:val="clear" w:color="auto" w:fill="ffffff"/>
          <w:lang w:val="en-US" w:eastAsia="zh-CN"/>
        </w:rPr>
        <w:t>突出抓好主次干道占道经营、店外杂物等市容环卫管理常态、长效整治监管，</w:t>
      </w:r>
      <w:r>
        <w:rPr>
          <w:rFonts w:ascii="仿宋" w:cs="仿宋" w:eastAsia="仿宋" w:hAnsi="仿宋" w:hint="eastAsia"/>
          <w:b w:val="false"/>
          <w:bCs w:val="false"/>
          <w:w w:val="101"/>
          <w:kern w:val="2"/>
          <w:sz w:val="32"/>
          <w:szCs w:val="32"/>
          <w:shd w:val="clear" w:color="auto" w:fill="ffffff"/>
          <w:lang w:val="en-US" w:eastAsia="zh-CN"/>
        </w:rPr>
        <w:t>各执法中队坚持一米一米推进，</w:t>
      </w:r>
      <w:r>
        <w:rPr>
          <w:rFonts w:ascii="仿宋" w:cs="仿宋" w:eastAsia="仿宋" w:hAnsi="仿宋" w:hint="eastAsia"/>
          <w:b w:val="false"/>
          <w:bCs w:val="false"/>
          <w:w w:val="101"/>
          <w:kern w:val="2"/>
          <w:sz w:val="32"/>
          <w:szCs w:val="32"/>
          <w:shd w:val="clear" w:color="auto" w:fill="ffffff"/>
          <w:lang w:val="en-US" w:eastAsia="zh-CN"/>
        </w:rPr>
        <w:t>一条街一条街打造，凡属影响市容、有碍观瞻的店外杂物、牛皮癣、乱扯乱挂、乱停乱放、游商游贩等现象，一律进行“过筛子”整治，做到边整治、边规范、边巩固，先后整治门店1100余间，规范治理摊位230余个，取缔游商游贩120余个，劝导教育200余人次，日均徒步执法12公里，暂扣物品730余件，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val="en-US" w:eastAsia="zh-CN"/>
        </w:rPr>
        <w:t>清除“牛皮癣”3400余处，市容环境进一步净化，</w:t>
      </w:r>
      <w:r>
        <w:rPr>
          <w:rFonts w:ascii="仿宋" w:cs="仿宋" w:eastAsia="仿宋" w:hAnsi="仿宋" w:hint="eastAsia"/>
          <w:color w:val="000000"/>
          <w:w w:val="101"/>
          <w:sz w:val="32"/>
          <w:szCs w:val="32"/>
          <w:lang w:eastAsia="zh-CN"/>
        </w:rPr>
        <w:t>管理秩序持续规范。</w:t>
      </w:r>
    </w:p>
    <w:p>
      <w:pPr>
        <w:pStyle w:val="style4097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textAlignment w:val="auto"/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textAlignment w:val="auto"/>
        <w:rPr>
          <w:rFonts w:ascii="仿宋" w:cs="仿宋" w:eastAsia="仿宋" w:hAnsi="仿宋" w:hint="eastAsia"/>
          <w:w w:val="101"/>
          <w:sz w:val="32"/>
          <w:szCs w:val="32"/>
          <w:lang w:val="en-US" w:eastAsia="zh-CN"/>
        </w:rPr>
      </w:pPr>
    </w:p>
    <w:p>
      <w:pPr>
        <w:pStyle w:val="style4097"/>
        <w:rPr>
          <w:rFonts w:ascii="仿宋" w:cs="仿宋" w:eastAsia="仿宋" w:hAnsi="仿宋" w:hint="eastAsia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Meiryo">
    <w:altName w:val="Meiryo"/>
    <w:panose1 w:val="020b0604030005040204"/>
    <w:charset w:val="80"/>
    <w:family w:val="auto"/>
    <w:pitch w:val="default"/>
    <w:sig w:usb0="E10102FF" w:usb1="EAC7FFFF" w:usb2="00010012" w:usb3="00000000" w:csb0="6002009F" w:csb1="DFD7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  <w:font w:name="AngsanaUPC">
    <w:altName w:val="AngsanaUPC"/>
    <w:panose1 w:val="02020603050004020304"/>
    <w:charset w:val="00"/>
    <w:family w:val="auto"/>
    <w:pitch w:val="default"/>
    <w:sig w:usb0="81000003" w:usb1="00000000" w:usb2="00000000" w:usb3="00000000" w:csb0="00010001" w:csb1="00000000"/>
  </w:font>
  <w:font w:name="Arabic Typesetting">
    <w:altName w:val="Arabic Typesetting"/>
    <w:panose1 w:val="03020402040004030203"/>
    <w:charset w:val="00"/>
    <w:family w:val="auto"/>
    <w:pitch w:val="default"/>
    <w:sig w:usb0="A000206F" w:usb1="C0000000" w:usb2="00000008" w:usb3="00000000" w:csb0="200000D3" w:csb1="00000000"/>
  </w:font>
  <w:font w:name="BrowalliaUPC">
    <w:altName w:val="BrowalliaUPC"/>
    <w:panose1 w:val="020b0604020002020204"/>
    <w:charset w:val="00"/>
    <w:family w:val="auto"/>
    <w:pitch w:val="default"/>
    <w:sig w:usb0="81000003" w:usb1="00000000" w:usb2="00000000" w:usb3="00000000" w:csb0="0001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ksdb"/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paragraph" w:styleId="style2">
    <w:name w:val="heading 2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36"/>
      <w:szCs w:val="36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缩进1"/>
    <w:basedOn w:val="style0"/>
    <w:next w:val="style4097"/>
    <w:qFormat/>
    <w:uiPriority w:val="99"/>
    <w:pPr>
      <w:spacing w:lineRule="auto" w:line="360"/>
      <w:ind w:firstLine="480" w:firstLineChars="200"/>
    </w:pPr>
    <w:rPr/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/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41">
    <w:name w:val="page number"/>
    <w:basedOn w:val="style65"/>
    <w:next w:val="style41"/>
    <w:qFormat/>
    <w:uiPriority w:val="99"/>
    <w:rPr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2039</Words>
  <Pages>5</Pages>
  <Characters>2083</Characters>
  <Application>WPS Office</Application>
  <DocSecurity>0</DocSecurity>
  <Paragraphs>10</Paragraphs>
  <ScaleCrop>false</ScaleCrop>
  <LinksUpToDate>false</LinksUpToDate>
  <CharactersWithSpaces>2083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2023-06-13T14:49:00Z</dcterms:created>
  <dc:creator>Administrator</dc:creator>
  <lastModifiedBy>ELS-AN00</lastModifiedBy>
  <dcterms:modified xsi:type="dcterms:W3CDTF">2023-06-29T02:15:23Z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F542E7AC0D374274BC7D4AF4D84582C2</vt:lpwstr>
  </property>
</Properties>
</file>