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襄城县</w:t>
      </w:r>
      <w:r>
        <w:rPr>
          <w:rFonts w:hint="eastAsia" w:ascii="宋体" w:hAnsi="宋体" w:eastAsia="宋体" w:cs="宋体"/>
          <w:b/>
          <w:bCs/>
          <w:sz w:val="44"/>
          <w:szCs w:val="44"/>
        </w:rPr>
        <w:t>住房和城乡建设</w:t>
      </w:r>
      <w:r>
        <w:rPr>
          <w:rFonts w:hint="eastAsia" w:ascii="宋体" w:hAnsi="宋体" w:eastAsia="宋体" w:cs="宋体"/>
          <w:b/>
          <w:bCs/>
          <w:sz w:val="44"/>
          <w:szCs w:val="44"/>
          <w:lang w:eastAsia="zh-CN"/>
        </w:rPr>
        <w:t>局</w:t>
      </w:r>
      <w:r>
        <w:rPr>
          <w:rFonts w:hint="eastAsia" w:ascii="宋体" w:hAnsi="宋体" w:cs="宋体"/>
          <w:b/>
          <w:bCs/>
          <w:sz w:val="44"/>
          <w:szCs w:val="44"/>
          <w:lang w:eastAsia="zh-CN"/>
        </w:rPr>
        <w:t>国有土地房屋征收领域、</w:t>
      </w:r>
      <w:r>
        <w:rPr>
          <w:rFonts w:hint="eastAsia" w:ascii="宋体" w:hAnsi="宋体" w:eastAsia="宋体" w:cs="宋体"/>
          <w:b/>
          <w:bCs/>
          <w:sz w:val="44"/>
          <w:szCs w:val="44"/>
          <w:lang w:eastAsia="zh-CN"/>
        </w:rPr>
        <w:t>保障性住房领域、农村危房改造领域、市政服务领域基层政务公开标准</w:t>
      </w:r>
      <w:bookmarkStart w:id="0" w:name="_GoBack"/>
      <w:bookmarkEnd w:id="0"/>
      <w:r>
        <w:rPr>
          <w:rFonts w:hint="eastAsia" w:ascii="宋体" w:hAnsi="宋体" w:eastAsia="宋体" w:cs="宋体"/>
          <w:b/>
          <w:bCs/>
          <w:sz w:val="44"/>
          <w:szCs w:val="44"/>
          <w:lang w:eastAsia="zh-CN"/>
        </w:rPr>
        <w:t>指引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90" w:lineRule="atLeast"/>
        <w:ind w:left="0" w:right="0" w:firstLine="0"/>
        <w:jc w:val="both"/>
        <w:rPr>
          <w:rFonts w:hint="eastAsia" w:ascii="宋体" w:hAnsi="宋体" w:eastAsia="宋体" w:cs="宋体"/>
          <w:b w:val="0"/>
          <w:i w:val="0"/>
          <w:caps w:val="0"/>
          <w:color w:val="454545"/>
          <w:spacing w:val="0"/>
          <w:sz w:val="42"/>
          <w:szCs w:val="42"/>
        </w:rPr>
      </w:pPr>
    </w:p>
    <w:p>
      <w:pPr>
        <w:widowControl w:val="0"/>
        <w:shd w:val="solid" w:color="FFFFFF" w:fill="auto"/>
        <w:wordWrap/>
        <w:autoSpaceDN w:val="0"/>
        <w:adjustRightInd/>
        <w:snapToGrid/>
        <w:spacing w:before="0" w:after="210" w:line="480" w:lineRule="auto"/>
        <w:ind w:left="0" w:leftChars="0" w:right="0" w:firstLine="420"/>
        <w:jc w:val="both"/>
        <w:textAlignment w:val="auto"/>
        <w:outlineLvl w:val="9"/>
        <w:rPr>
          <w:rFonts w:hint="eastAsia" w:ascii="仿宋" w:hAnsi="仿宋" w:eastAsia="仿宋" w:cs="仿宋"/>
          <w:b w:val="0"/>
          <w:i w:val="0"/>
          <w:color w:val="auto"/>
          <w:sz w:val="32"/>
          <w:szCs w:val="32"/>
          <w:shd w:val="clear" w:color="auto" w:fill="FFFFFF"/>
          <w:lang w:eastAsia="zh-CN"/>
        </w:rPr>
      </w:pPr>
      <w:r>
        <w:rPr>
          <w:rFonts w:hint="eastAsia" w:ascii="仿宋" w:hAnsi="仿宋" w:eastAsia="仿宋" w:cs="仿宋"/>
          <w:b w:val="0"/>
          <w:i w:val="0"/>
          <w:color w:val="auto"/>
          <w:sz w:val="32"/>
          <w:szCs w:val="32"/>
          <w:shd w:val="clear" w:color="auto" w:fill="FFFFFF"/>
          <w:lang w:eastAsia="zh-CN"/>
        </w:rPr>
        <w:t>为贯彻落实《襄城县人民政府关于印发襄城县全面推进基层政务公开标准化规范化工作实施方案的通知》（襄政办〔2020〕</w:t>
      </w:r>
      <w:r>
        <w:rPr>
          <w:rFonts w:hint="eastAsia" w:ascii="仿宋" w:hAnsi="仿宋" w:eastAsia="仿宋" w:cs="仿宋"/>
          <w:b w:val="0"/>
          <w:i w:val="0"/>
          <w:color w:val="auto"/>
          <w:sz w:val="32"/>
          <w:szCs w:val="32"/>
          <w:shd w:val="clear" w:color="auto" w:fill="FFFFFF"/>
          <w:lang w:val="en-US" w:eastAsia="zh-CN"/>
        </w:rPr>
        <w:t>8</w:t>
      </w:r>
      <w:r>
        <w:rPr>
          <w:rFonts w:hint="eastAsia" w:ascii="仿宋" w:hAnsi="仿宋" w:eastAsia="仿宋" w:cs="仿宋"/>
          <w:b w:val="0"/>
          <w:i w:val="0"/>
          <w:color w:val="auto"/>
          <w:sz w:val="32"/>
          <w:szCs w:val="32"/>
          <w:shd w:val="clear" w:color="auto" w:fill="FFFFFF"/>
          <w:lang w:eastAsia="zh-CN"/>
        </w:rPr>
        <w:t>号）文件要求，进一步推进住房城乡建设领域基层政务公开标准化规范化，提升基层政务公开和政务服务水平。根据《河南省住房和城乡建设厅关于落实保障性住房等领域基层政务公开标准目录和编制本地标准目录的意见》（豫建办〔2020〕189号），结合我县实际，我局编制了《襄城县住房城乡建设领域基层政务公开标准目录》（以下简称《标准目录》）。</w:t>
      </w:r>
    </w:p>
    <w:p>
      <w:pPr>
        <w:widowControl w:val="0"/>
        <w:wordWrap/>
        <w:adjustRightInd/>
        <w:snapToGrid/>
        <w:spacing w:before="0" w:line="480" w:lineRule="auto"/>
        <w:ind w:left="0" w:leftChars="0" w:right="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widowControl w:val="0"/>
        <w:wordWrap/>
        <w:adjustRightInd/>
        <w:snapToGrid/>
        <w:spacing w:before="0" w:line="480" w:lineRule="auto"/>
        <w:ind w:left="0" w:leftChars="0" w:right="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(一)指导思想。坚持以习近平新时代中国特色社会主义思想为指导，深入贯彻落实党的十九大和十九届二中、三中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四中、五中</w:t>
      </w:r>
      <w:r>
        <w:rPr>
          <w:rFonts w:hint="eastAsia" w:ascii="仿宋" w:hAnsi="仿宋" w:eastAsia="仿宋" w:cs="仿宋"/>
          <w:color w:val="auto"/>
          <w:sz w:val="32"/>
          <w:szCs w:val="32"/>
        </w:rPr>
        <w:t>全会精神，深入推进依法行政，全面落实党中央、国务院有关决策部署和《中华人民共和国信息公开条例》，全面推进</w:t>
      </w:r>
      <w:r>
        <w:rPr>
          <w:rFonts w:hint="eastAsia" w:ascii="仿宋" w:hAnsi="仿宋" w:eastAsia="仿宋" w:cs="仿宋"/>
          <w:color w:val="auto"/>
          <w:sz w:val="32"/>
          <w:szCs w:val="32"/>
          <w:lang w:eastAsia="zh-CN"/>
        </w:rPr>
        <w:t>襄城县住房和城乡建设局关于保障性住房领域、农村危房改造领域、市政服务领域基层政务</w:t>
      </w:r>
      <w:r>
        <w:rPr>
          <w:rFonts w:hint="eastAsia" w:ascii="仿宋" w:hAnsi="仿宋" w:eastAsia="仿宋" w:cs="仿宋"/>
          <w:color w:val="auto"/>
          <w:sz w:val="32"/>
          <w:szCs w:val="32"/>
        </w:rPr>
        <w:t>公开，坚持以公开为原则，最大限度提高社会舆论监督，推进决策公开、执行公开、管理公开、服务公开、结果公开。</w:t>
      </w:r>
    </w:p>
    <w:p>
      <w:pPr>
        <w:widowControl w:val="0"/>
        <w:wordWrap/>
        <w:adjustRightInd/>
        <w:snapToGrid/>
        <w:spacing w:before="0" w:line="480" w:lineRule="auto"/>
        <w:ind w:left="0" w:leftChars="0" w:right="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(二)重要意义。公开透明是法治政府的基本特征。深入推进</w:t>
      </w:r>
      <w:r>
        <w:rPr>
          <w:rFonts w:hint="eastAsia" w:ascii="仿宋" w:hAnsi="仿宋" w:eastAsia="仿宋" w:cs="仿宋"/>
          <w:color w:val="auto"/>
          <w:sz w:val="32"/>
          <w:szCs w:val="32"/>
          <w:lang w:eastAsia="zh-CN"/>
        </w:rPr>
        <w:t>保障性住房领域、农村危房改造领域、市政服务领域基层政务</w:t>
      </w:r>
      <w:r>
        <w:rPr>
          <w:rFonts w:hint="eastAsia" w:ascii="仿宋" w:hAnsi="仿宋" w:eastAsia="仿宋" w:cs="仿宋"/>
          <w:color w:val="auto"/>
          <w:sz w:val="32"/>
          <w:szCs w:val="32"/>
        </w:rPr>
        <w:t>公开的标准化规范化，是全面推进</w:t>
      </w:r>
      <w:r>
        <w:rPr>
          <w:rFonts w:hint="eastAsia" w:ascii="仿宋" w:hAnsi="仿宋" w:eastAsia="仿宋" w:cs="仿宋"/>
          <w:color w:val="auto"/>
          <w:sz w:val="32"/>
          <w:szCs w:val="32"/>
          <w:lang w:eastAsia="zh-CN"/>
        </w:rPr>
        <w:t>住建</w:t>
      </w:r>
      <w:r>
        <w:rPr>
          <w:rFonts w:hint="eastAsia" w:ascii="仿宋" w:hAnsi="仿宋" w:eastAsia="仿宋" w:cs="仿宋"/>
          <w:color w:val="auto"/>
          <w:sz w:val="32"/>
          <w:szCs w:val="32"/>
        </w:rPr>
        <w:t>系统政务公开的基础性工作，是立足基层实际、细化公开内容、规范公开流程、完善公开方式的必然要求，对于建设法治政府、服务型政府，增强政府公信力执行力，推进社会治理现代化，保障人民群众知情权、参与权、表达权、监督权具有重要意义。</w:t>
      </w:r>
    </w:p>
    <w:p>
      <w:pPr>
        <w:widowControl w:val="0"/>
        <w:wordWrap/>
        <w:adjustRightInd/>
        <w:snapToGrid/>
        <w:spacing w:before="0" w:line="480" w:lineRule="auto"/>
        <w:ind w:left="0" w:leftChars="0" w:right="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二、适用范围</w:t>
      </w: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本指引适用于襄城县住房和城乡建设局保障性住房领域、农村危房改造领域、市政服务领域基层政务公开工作。</w:t>
      </w:r>
    </w:p>
    <w:p>
      <w:pPr>
        <w:widowControl w:val="0"/>
        <w:wordWrap/>
        <w:adjustRightInd/>
        <w:snapToGrid/>
        <w:spacing w:before="0" w:line="480" w:lineRule="auto"/>
        <w:ind w:left="0" w:leftChars="0" w:right="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三、主要内容</w:t>
      </w:r>
    </w:p>
    <w:p>
      <w:pPr>
        <w:widowControl w:val="0"/>
        <w:wordWrap/>
        <w:adjustRightInd/>
        <w:snapToGrid/>
        <w:spacing w:before="0" w:line="480" w:lineRule="auto"/>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《标准目录》</w:t>
      </w:r>
      <w:r>
        <w:rPr>
          <w:rFonts w:hint="eastAsia" w:ascii="仿宋" w:hAnsi="仿宋" w:eastAsia="仿宋" w:cs="仿宋"/>
          <w:color w:val="auto"/>
          <w:sz w:val="32"/>
          <w:szCs w:val="32"/>
          <w:lang w:eastAsia="zh-CN"/>
        </w:rPr>
        <w:t>中政务公开事项，主要包含国有房屋征收领域</w:t>
      </w:r>
      <w:r>
        <w:rPr>
          <w:rFonts w:hint="eastAsia" w:ascii="仿宋" w:hAnsi="仿宋" w:eastAsia="仿宋" w:cs="仿宋"/>
          <w:color w:val="auto"/>
          <w:sz w:val="32"/>
          <w:szCs w:val="32"/>
          <w:lang w:val="en-US" w:eastAsia="zh-CN"/>
        </w:rPr>
        <w:t>（4类一级事项，12类二级事项）、</w:t>
      </w:r>
      <w:r>
        <w:rPr>
          <w:rFonts w:hint="eastAsia" w:ascii="仿宋" w:hAnsi="仿宋" w:eastAsia="仿宋" w:cs="仿宋"/>
          <w:color w:val="auto"/>
          <w:sz w:val="32"/>
          <w:szCs w:val="32"/>
          <w:lang w:eastAsia="zh-CN"/>
        </w:rPr>
        <w:t>保障性住房领域（</w:t>
      </w:r>
      <w:r>
        <w:rPr>
          <w:rFonts w:hint="eastAsia" w:ascii="仿宋" w:hAnsi="仿宋" w:eastAsia="仿宋" w:cs="仿宋"/>
          <w:color w:val="auto"/>
          <w:sz w:val="32"/>
          <w:szCs w:val="32"/>
          <w:lang w:val="en-US" w:eastAsia="zh-CN"/>
        </w:rPr>
        <w:t>1类一级事项5项二级事项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sz w:val="32"/>
          <w:szCs w:val="32"/>
          <w:lang w:eastAsia="zh-CN"/>
        </w:rPr>
        <w:t>农村危房改造领域（</w:t>
      </w:r>
      <w:r>
        <w:rPr>
          <w:rFonts w:hint="eastAsia" w:ascii="仿宋" w:hAnsi="仿宋" w:eastAsia="仿宋" w:cs="仿宋"/>
          <w:b w:val="0"/>
          <w:bCs w:val="0"/>
          <w:color w:val="auto"/>
          <w:sz w:val="32"/>
          <w:szCs w:val="32"/>
          <w:lang w:val="en-US" w:eastAsia="zh-CN"/>
        </w:rPr>
        <w:t>5项过程，9</w:t>
      </w:r>
      <w:r>
        <w:rPr>
          <w:rFonts w:hint="eastAsia" w:ascii="仿宋" w:hAnsi="仿宋" w:eastAsia="仿宋" w:cs="仿宋"/>
          <w:color w:val="auto"/>
          <w:sz w:val="32"/>
          <w:szCs w:val="32"/>
          <w:lang w:val="en-US" w:eastAsia="zh-CN"/>
        </w:rPr>
        <w:t>类一级事项，16项二级事项</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val="en-US" w:eastAsia="zh-CN"/>
        </w:rPr>
        <w:t>和</w:t>
      </w:r>
      <w:r>
        <w:rPr>
          <w:rFonts w:hint="eastAsia" w:ascii="仿宋" w:hAnsi="仿宋" w:eastAsia="仿宋" w:cs="仿宋"/>
          <w:b w:val="0"/>
          <w:bCs w:val="0"/>
          <w:color w:val="auto"/>
          <w:sz w:val="32"/>
          <w:szCs w:val="32"/>
          <w:lang w:eastAsia="zh-CN"/>
        </w:rPr>
        <w:t>市政服务领域（</w:t>
      </w:r>
      <w:r>
        <w:rPr>
          <w:rFonts w:hint="eastAsia" w:ascii="仿宋" w:hAnsi="仿宋" w:eastAsia="仿宋" w:cs="仿宋"/>
          <w:color w:val="auto"/>
          <w:sz w:val="32"/>
          <w:szCs w:val="32"/>
          <w:lang w:val="en-US" w:eastAsia="zh-CN"/>
        </w:rPr>
        <w:t>5类一级事项，9项二级事项</w:t>
      </w:r>
      <w:r>
        <w:rPr>
          <w:rFonts w:hint="eastAsia" w:ascii="仿宋" w:hAnsi="仿宋" w:eastAsia="仿宋" w:cs="仿宋"/>
          <w:b w:val="0"/>
          <w:bCs w:val="0"/>
          <w:color w:val="auto"/>
          <w:sz w:val="32"/>
          <w:szCs w:val="32"/>
          <w:lang w:eastAsia="zh-CN"/>
        </w:rPr>
        <w:t>）等方面公开事项</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公开内容、公开依据、公开时限、公开主体、公开渠道、公开对象和公开方式、公开层级等，提供了开展政务公开工作的基本框架。</w:t>
      </w:r>
    </w:p>
    <w:p>
      <w:pPr>
        <w:widowControl w:val="0"/>
        <w:wordWrap/>
        <w:adjustRightInd/>
        <w:snapToGrid/>
        <w:spacing w:before="0" w:line="480" w:lineRule="auto"/>
        <w:ind w:left="0" w:leftChars="0" w:right="0" w:firstLine="640" w:firstLineChars="200"/>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四、组织实施 </w:t>
      </w: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(一）</w:t>
      </w:r>
      <w:r>
        <w:rPr>
          <w:rFonts w:hint="eastAsia" w:ascii="仿宋" w:hAnsi="仿宋" w:eastAsia="仿宋" w:cs="仿宋"/>
          <w:color w:val="auto"/>
          <w:sz w:val="32"/>
          <w:szCs w:val="32"/>
          <w:lang w:eastAsia="zh-CN"/>
        </w:rPr>
        <w:t>加强组织领导。各股室、各单位主要负责同志要亲自抓，分管同志具体抓，牵头部门主动抓，形成齐抓共管、协调推进的良好局面。</w:t>
      </w: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二)加强队伍建设。强化基层政务公开工作主管部门职责，明确工作机构和人员，确保有机构承担、有专人负责。把政务公开特别是政府信息公开条例纳入基层领导干部和公务员教育培训内容，每年至少组织1次集中学习培训，切实增强依法依规公开意识。</w:t>
      </w: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三)强化协调推进。各股室、各单位要加强对本部门推进基层政务公开标准化、规范化工作的指导协调和监督检查。要精心组织实施，强化经费保障，建立完善基层政务公开工作相关股室与宣传(网信)、政务服务、大数据管理、融媒体中心等单位的协调联动机制，形成推进政务公开标准化、规范化的工作合力，确保各项工作任务按时间节点保质保量完成。</w:t>
      </w: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rPr>
      </w:pPr>
    </w:p>
    <w:p>
      <w:pPr>
        <w:widowControl w:val="0"/>
        <w:wordWrap/>
        <w:adjustRightInd/>
        <w:snapToGrid/>
        <w:spacing w:before="0" w:line="480" w:lineRule="auto"/>
        <w:ind w:left="0" w:leftChars="0" w:right="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附件：襄城县住房和城乡建设系统基层政务公开标准目录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2E5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5">
    <w:name w:val="Default Paragraph Font"/>
    <w:semiHidden/>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胡新帅</cp:lastModifiedBy>
  <cp:lastPrinted>2020-12-14T08:19:00Z</cp:lastPrinted>
  <dcterms:modified xsi:type="dcterms:W3CDTF">2020-12-23T10:17:09Z</dcterms:modified>
  <dc:title>襄城县住房和城乡建设局关于落实保障性住房领域、农村危房改造领域、市政服务领域基层政务公开标准指引和目录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