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1C" w:rsidRDefault="00303962">
      <w:pPr>
        <w:rPr>
          <w:rFonts w:ascii="黑体" w:eastAsia="黑体" w:hAnsi="黑体" w:cs="黑体"/>
          <w:sz w:val="32"/>
          <w:szCs w:val="32"/>
        </w:rPr>
      </w:pPr>
      <w:r>
        <w:rPr>
          <w:rFonts w:ascii="黑体" w:eastAsia="黑体" w:hAnsi="黑体" w:cs="黑体" w:hint="eastAsia"/>
          <w:sz w:val="32"/>
          <w:szCs w:val="32"/>
        </w:rPr>
        <w:t>附件3</w:t>
      </w:r>
      <w:bookmarkStart w:id="0" w:name="_GoBack"/>
      <w:bookmarkEnd w:id="0"/>
    </w:p>
    <w:p w:rsidR="0013641C" w:rsidRPr="0053012E" w:rsidRDefault="00303962">
      <w:pPr>
        <w:widowControl/>
        <w:jc w:val="center"/>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县级政务服务事项办理情况</w:t>
      </w:r>
      <w:r w:rsidRPr="0053012E">
        <w:rPr>
          <w:rFonts w:ascii="方正小标宋简体" w:eastAsia="方正小标宋简体" w:hAnsi="方正小标宋简体" w:cs="方正小标宋简体" w:hint="eastAsia"/>
          <w:sz w:val="44"/>
          <w:szCs w:val="44"/>
        </w:rPr>
        <w:t>统计表</w:t>
      </w:r>
    </w:p>
    <w:p w:rsidR="0013641C" w:rsidRDefault="00303962">
      <w:pPr>
        <w:rPr>
          <w:rFonts w:ascii="仿宋" w:eastAsia="仿宋" w:hAnsi="仿宋" w:cs="仿宋"/>
          <w:sz w:val="32"/>
          <w:szCs w:val="32"/>
        </w:rPr>
      </w:pPr>
      <w:r>
        <w:rPr>
          <w:rFonts w:ascii="仿宋" w:eastAsia="仿宋" w:hAnsi="仿宋" w:cs="仿宋" w:hint="eastAsia"/>
          <w:sz w:val="32"/>
          <w:szCs w:val="32"/>
        </w:rPr>
        <w:t>填报单位：</w:t>
      </w:r>
      <w:r>
        <w:rPr>
          <w:rFonts w:ascii="仿宋" w:eastAsia="仿宋" w:hAnsi="仿宋" w:cs="仿宋" w:hint="eastAsia"/>
          <w:sz w:val="32"/>
          <w:szCs w:val="32"/>
          <w:u w:val="single"/>
        </w:rPr>
        <w:t xml:space="preserve"> </w:t>
      </w:r>
      <w:r w:rsidR="00092359">
        <w:rPr>
          <w:rFonts w:ascii="仿宋" w:eastAsia="仿宋" w:hAnsi="仿宋" w:cs="仿宋" w:hint="eastAsia"/>
          <w:sz w:val="32"/>
          <w:szCs w:val="32"/>
          <w:u w:val="single"/>
        </w:rPr>
        <w:t>襄城县</w:t>
      </w:r>
      <w:r>
        <w:rPr>
          <w:rFonts w:ascii="仿宋" w:eastAsia="仿宋" w:hAnsi="仿宋" w:cs="仿宋" w:hint="eastAsia"/>
          <w:sz w:val="32"/>
          <w:szCs w:val="32"/>
          <w:u w:val="single"/>
        </w:rPr>
        <w:t xml:space="preserve">文化广电和旅游局  </w:t>
      </w:r>
    </w:p>
    <w:tbl>
      <w:tblPr>
        <w:tblW w:w="1392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2646"/>
        <w:gridCol w:w="3212"/>
        <w:gridCol w:w="1452"/>
        <w:gridCol w:w="1534"/>
        <w:gridCol w:w="1436"/>
        <w:gridCol w:w="1545"/>
        <w:gridCol w:w="1515"/>
      </w:tblGrid>
      <w:tr w:rsidR="0013641C">
        <w:trPr>
          <w:trHeight w:val="652"/>
        </w:trPr>
        <w:tc>
          <w:tcPr>
            <w:tcW w:w="583" w:type="dxa"/>
            <w:vMerge w:val="restart"/>
            <w:shd w:val="clear" w:color="auto" w:fill="auto"/>
            <w:vAlign w:val="center"/>
          </w:tcPr>
          <w:p w:rsidR="0013641C" w:rsidRDefault="00303962">
            <w:pPr>
              <w:widowControl/>
              <w:jc w:val="center"/>
              <w:textAlignment w:val="center"/>
              <w:rPr>
                <w:rFonts w:ascii="楷体" w:eastAsia="楷体" w:hAnsi="楷体" w:cs="楷体"/>
                <w:b/>
                <w:bCs/>
                <w:color w:val="000000"/>
                <w:sz w:val="22"/>
                <w:szCs w:val="22"/>
              </w:rPr>
            </w:pPr>
            <w:r>
              <w:rPr>
                <w:rFonts w:ascii="黑体" w:eastAsia="黑体" w:hAnsi="黑体" w:cs="黑体" w:hint="eastAsia"/>
                <w:color w:val="000000"/>
                <w:kern w:val="0"/>
                <w:sz w:val="22"/>
                <w:szCs w:val="22"/>
              </w:rPr>
              <w:t>序号</w:t>
            </w:r>
          </w:p>
        </w:tc>
        <w:tc>
          <w:tcPr>
            <w:tcW w:w="5858" w:type="dxa"/>
            <w:gridSpan w:val="2"/>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kern w:val="0"/>
                <w:sz w:val="24"/>
              </w:rPr>
              <w:t>政务服务事项</w:t>
            </w:r>
          </w:p>
        </w:tc>
        <w:tc>
          <w:tcPr>
            <w:tcW w:w="1452" w:type="dxa"/>
            <w:vMerge w:val="restart"/>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是否可全程网办</w:t>
            </w:r>
          </w:p>
        </w:tc>
        <w:tc>
          <w:tcPr>
            <w:tcW w:w="1534" w:type="dxa"/>
            <w:vMerge w:val="restart"/>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是否为即办件（当日办结）</w:t>
            </w:r>
          </w:p>
        </w:tc>
        <w:tc>
          <w:tcPr>
            <w:tcW w:w="1436" w:type="dxa"/>
            <w:vMerge w:val="restart"/>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是否实现最多跑一次</w:t>
            </w:r>
          </w:p>
        </w:tc>
        <w:tc>
          <w:tcPr>
            <w:tcW w:w="1545" w:type="dxa"/>
            <w:vMerge w:val="restart"/>
            <w:shd w:val="clear" w:color="auto" w:fill="auto"/>
            <w:vAlign w:val="center"/>
          </w:tcPr>
          <w:p w:rsidR="0013641C" w:rsidRDefault="00303962">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是否实现在</w:t>
            </w:r>
          </w:p>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自助服务机办理</w:t>
            </w:r>
          </w:p>
        </w:tc>
        <w:tc>
          <w:tcPr>
            <w:tcW w:w="1515" w:type="dxa"/>
            <w:vMerge w:val="restart"/>
            <w:shd w:val="clear" w:color="auto" w:fill="auto"/>
            <w:vAlign w:val="center"/>
          </w:tcPr>
          <w:p w:rsidR="0013641C" w:rsidRDefault="00303962">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纯线下办理（无系统）</w:t>
            </w:r>
          </w:p>
        </w:tc>
      </w:tr>
      <w:tr w:rsidR="0013641C">
        <w:trPr>
          <w:trHeight w:val="659"/>
        </w:trPr>
        <w:tc>
          <w:tcPr>
            <w:tcW w:w="583"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2"/>
                <w:szCs w:val="22"/>
              </w:rPr>
            </w:pPr>
          </w:p>
        </w:tc>
        <w:tc>
          <w:tcPr>
            <w:tcW w:w="2646" w:type="dxa"/>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主项名称</w:t>
            </w:r>
          </w:p>
        </w:tc>
        <w:tc>
          <w:tcPr>
            <w:tcW w:w="3212" w:type="dxa"/>
            <w:shd w:val="clear" w:color="auto" w:fill="auto"/>
            <w:vAlign w:val="center"/>
          </w:tcPr>
          <w:p w:rsidR="0013641C" w:rsidRDefault="00303962">
            <w:pPr>
              <w:widowControl/>
              <w:jc w:val="center"/>
              <w:textAlignment w:val="center"/>
              <w:rPr>
                <w:rFonts w:ascii="楷体" w:eastAsia="楷体" w:hAnsi="楷体" w:cs="楷体"/>
                <w:b/>
                <w:bCs/>
                <w:color w:val="000000"/>
                <w:sz w:val="24"/>
              </w:rPr>
            </w:pPr>
            <w:r>
              <w:rPr>
                <w:rFonts w:ascii="黑体" w:eastAsia="黑体" w:hAnsi="黑体" w:cs="黑体" w:hint="eastAsia"/>
                <w:color w:val="000000"/>
                <w:sz w:val="24"/>
              </w:rPr>
              <w:t>业务办理项名称</w:t>
            </w:r>
          </w:p>
        </w:tc>
        <w:tc>
          <w:tcPr>
            <w:tcW w:w="1452"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4"/>
              </w:rPr>
            </w:pPr>
          </w:p>
        </w:tc>
        <w:tc>
          <w:tcPr>
            <w:tcW w:w="1534"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4"/>
              </w:rPr>
            </w:pPr>
          </w:p>
        </w:tc>
        <w:tc>
          <w:tcPr>
            <w:tcW w:w="1436"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4"/>
              </w:rPr>
            </w:pPr>
          </w:p>
        </w:tc>
        <w:tc>
          <w:tcPr>
            <w:tcW w:w="1545"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4"/>
              </w:rPr>
            </w:pPr>
          </w:p>
        </w:tc>
        <w:tc>
          <w:tcPr>
            <w:tcW w:w="1515" w:type="dxa"/>
            <w:vMerge/>
            <w:shd w:val="clear" w:color="auto" w:fill="auto"/>
            <w:vAlign w:val="center"/>
          </w:tcPr>
          <w:p w:rsidR="0013641C" w:rsidRDefault="0013641C">
            <w:pPr>
              <w:widowControl/>
              <w:jc w:val="center"/>
              <w:textAlignment w:val="center"/>
              <w:rPr>
                <w:rFonts w:ascii="楷体" w:eastAsia="楷体" w:hAnsi="楷体" w:cs="楷体"/>
                <w:b/>
                <w:bCs/>
                <w:color w:val="000000"/>
                <w:kern w:val="0"/>
                <w:sz w:val="24"/>
              </w:rPr>
            </w:pP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馆藏珍贵文物修复、复制、拓印许可</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馆藏二、三级文物的修复初审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馆藏珍贵文物修复、复制、拓印许可</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馆藏二、三级文物及不可移动文物的单体文物的复制初审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馆藏珍贵文物修复、复制、拓印许可</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馆藏二、三级文物及不可移动文物的单体文物的拓印初审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设立文物商店审批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设立文物商店初审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文物保护单位及未核定为文物保护单位的不可移动文物修缮许可</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市级及以上文物保护单位修缮初审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文物保护单位及未核定为文物保护单位的不可移动文物修缮许可</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县级文物保护单位及未核定为文物保护单位的不可移动文物修缮审批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大型基本建设工程文物考古调查、勘探审批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基本建设工程文物考古调查、勘探审批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在文物保护单位的保护范围内进行其他建设工程或者爆破、钻探、挖掘等作业审批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市级文物保护单位保护范围内其他建设工程或者爆破、钻探、挖掘等作业初审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文物保护单位建设控制地带内建设工程设计方案审核</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县级文物保护单位建设控制地带内建设工程设计方案审批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文物保护单位建设控制地带内建设工程设计方案审核</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省级文物保护单位建设控制地带内建设工程设计方案初审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文物保护单位原址保护措施审批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县级文物保护单位原址保护措施审批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博物馆藏品取样审批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博物馆二级以下藏品取样分析初审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13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文物保护工程监理资质乙级初审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文物保护工程监理资质申请增加乙级资质业务范围初审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文物保护工程勘察设计乙级资质初审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文物保护工程勘察设计申请增加乙级资质业务范围初审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文物保护工程施工资质二级初审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文物保护工程资质（勘察设计、施工资质、监理资质）证书核发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文物保护工程施工资质申请增加二级资质业务范围初审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馆藏文物修复、复制、拓印单位资质认定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文物复制、拓印资质初审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馆藏文物修复、复制、拓印单位资质认定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文物修复资质初审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文物的认定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可移动文物认定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文物的认定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不可移动文物认定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文物出国（境）展览核报</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文物出国（境）展览初审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国有文物收藏单位之间借用馆藏文物备案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国有文物收藏单位之间借用馆藏文物备案</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非国有不可移动文物转让、抵押或改变用途备案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非国有县级文物保护单位及未核定为文物保护单位不可移动文物转让、抵押或改变用途备案</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文物保护单位安全防护工程审批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文物保护单位安全防护工程审批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利用文物保护单位举办大型活动审批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利用县级文物保护单位举办大型活动审批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设置卫星电视广播地面接收设施审批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接收卫星传送的境内电视节目审核</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小功率的无线广播电视发射设备订购证明核发</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小功率的无线广播电视发射设备订购证明核发审核</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有线广播电视传输覆盖网工程建设及验收审核</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有线广播电视传输覆盖网工程建设及验收审核（初审）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rsidTr="00092359">
        <w:trPr>
          <w:trHeight w:hRule="exact" w:val="584"/>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区域性有线广播电视传输覆盖网总体规划、建设方案审核</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区域性有线广播电视传输覆盖网总体规划、建设方案审核(初审）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13641C">
        <w:trPr>
          <w:trHeight w:hRule="exact" w:val="397"/>
        </w:trPr>
        <w:tc>
          <w:tcPr>
            <w:tcW w:w="583" w:type="dxa"/>
            <w:shd w:val="clear" w:color="auto" w:fill="auto"/>
            <w:vAlign w:val="center"/>
          </w:tcPr>
          <w:p w:rsidR="0013641C" w:rsidRDefault="003039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演出场所营业性演出审批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33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非演出场所营业性演出审批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演出场所营业性演出审批（含未成年演员）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非演出场所营业性演出审批（含未成年演员）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营业性演出变更（时间）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营业性演出变更（地点-演出场所）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营业性演出变更（地点-非演出场所）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39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营业性演出变更（演员）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营业性演出变更（演员-含未成年演员）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营业性演出变更（节目）</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营业性演出增加演出地备案（演出场所）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营业性演出增加演出地备案（非演出场所）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歌舞娱乐场所经营单位设立审批（自有场地）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歌舞娱乐场所经营单位设立审批（租赁场地）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歌舞娱乐场所经营单位变更（改建、扩建营业场所）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歌舞娱乐场所经营单位变更（地址-自有场地）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歌舞娱乐场所经营单位变更（地址-租赁场地）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49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歌舞娱乐场所经营单位变更（投资人员）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歌舞娱乐场所经营单位变更（名称）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歌舞娱乐场所经营单位变更（注册资本）</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53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歌舞娱乐场所经营单位变更（企业类型）</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歌舞娱乐场所经营单位变更（经营范围）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歌舞娱乐场所经营单位延续</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歌舞娱乐场所经营单位换证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59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游艺娱乐场所经营单位设立审批（自有场地）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游艺娱乐场所经营单位设立审批（租赁场地）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游艺娱乐场所经营单位变更（改建、扩建营业场所）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游艺娱乐场所经营单位变更（地址-自有场地）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游艺娱乐场所经营单位变更（地址-租赁场地）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游艺娱乐场所经营单位变更（投资人员）</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游艺娱乐场所经营单位变更（名称）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游艺娱乐场所经营单位变更（注册资本）</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游艺娱乐场所经营单位变更（企业类型）</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69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游艺娱乐场所经营单位变更（经营范围）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游艺娱乐场所经营单位变更游戏游艺设备</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游艺娱乐场所经营单位延续</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73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娱乐场所从事娱乐场所经营活动审批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游艺娱乐场所经营单位换证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事业单位文艺表演团体从事营业性演出活动审批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民办非企业单位文艺表演团体从事营业性演出活动审批</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文艺表演团体从事营业性演出活动变更（法定代表人、主要负责人）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79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事业单位文艺表演团体从事营业性演出活动变更（法定代表人、主要负责人）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民办非企业单位文艺表演团体从事营业性演出活动变更（法定代表人、主要负责人）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文艺表演团体从事营业性演出活动变更（名称）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事业单位文艺表演团体从事营业性演出活动变更（名称）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民办非企业单位文艺表演团体从事营业性演出活动变更（名称）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文艺表演团体从事营业性演出活动变更（地址-自有场地）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文艺表演团体从事营业性演出活动变更（地址-租赁场地）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文艺表演团体从事营业性演出活动变更（经营范围）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文艺表演团体从事营业性演出活动延续</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事业单位文艺表演团体从事营业性演出活动延续</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89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民办非企业单位文艺表演团体从事营业性演出活动延续</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文艺表演团体从事营业性演出活动换证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93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申请从事互联网上网服务经营活动审批（自有场所筹建）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申请从事互联网上网服务经营活动审批（租赁场所筹建）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申请从事互联网上网服务经营活动审批（最终审核）</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申请从事互联网上网服务经营活动变更（名称、法定代表人、主要负责人）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申请从事互联网上网服务经营活动变更（营业场所地址）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申请从事互联网上网服务经营活动变更（网络地址）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99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申请从事互联网上网服务经营活动变更（机器台数）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申请从事互联网上网服务经营活动变更（改建、扩建）</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申请从事互联网上网服务经营活动换证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申请从事互联网上网服务经营活动审批</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申请从事互联网上网服务经营活动补证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艺术品经营单位备案登记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艺术品经营单位备案变更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艺术品经营单位备案补证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演出场所经营单位设立</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109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演出场所经营单位变更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演出场所经营单位补证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个体演员备案登记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113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个体演员备案变更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个体演员备案补证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个体演出经纪人备案登记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个体演出经纪人备案变更</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个体演出经纪人备案注销</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119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个体演出经纪人备案补证</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532"/>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对作出突出贡献的营业性演出社会义务监督员的表彰</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对作出突出贡献的营业性演出社会义务监督员的表彰</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省级文化产业示范基地（单位）命名</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省级文化产业示范园区申报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省级文化产业示范基地（单位）命名</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省级文化产业示范基地申报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对非物质文化遗产代表性项目的组织推荐评审认定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省级非物质文化遗产代表性项目的申报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对非物质文化遗产代表性项目的组织推荐评审认定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国家级非物质文化遗产代表性项目的申报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对非物质文化遗产代表性传承人的组织推荐评审认定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省级非物质文化遗产代表性传承人的申报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对非物质文化遗产代表性传承人的组织推荐评审认定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国家级非物质文化遗产代表性传承人的申报</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对在公共文化体育设施的建设、管理和保护工作中做出突出贡献的单位和个人给予奖励</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对在公共文化体育设施的建设、管理和保护工作中作出突出贡献的单位和个人给予奖励</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文化志愿者备案</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文化志愿者备案</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129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对在艺术档案工作中做出显著成绩的单位和个人的表彰和奖励</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对在艺术档案工作中做出显著成绩的单位和个人的表彰和奖励</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130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对营业性演出举报人的奖励</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对营业性演出举报人的奖励</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131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旅行社等级的划分与评定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3A级以下（含3A级）旅行社评定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t>132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旅行社等级的划分与评定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4A级以上（含4A级）旅行社初审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kern w:val="0"/>
                <w:sz w:val="22"/>
                <w:szCs w:val="22"/>
              </w:rPr>
            </w:pPr>
            <w:r w:rsidRPr="0053012E">
              <w:rPr>
                <w:rFonts w:ascii="宋体" w:eastAsia="宋体" w:hAnsi="宋体" w:cs="宋体" w:hint="eastAsia"/>
                <w:kern w:val="0"/>
                <w:sz w:val="22"/>
                <w:szCs w:val="22"/>
              </w:rPr>
              <w:lastRenderedPageBreak/>
              <w:t>133</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旅游景区质量等级的划分与评定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3A级以下（含3A级）旅游景区评定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kern w:val="0"/>
                <w:sz w:val="22"/>
                <w:szCs w:val="22"/>
              </w:rPr>
              <w:t>134</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旅游景区质量等级的划分与评定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4A级以上（含4A级）旅游景区初审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135</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旅游饭店星级的划分与评定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三星级以下（含三星级）旅游饭店的星级评定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136</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旅游饭店星级的划分与评定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四星级以上（含四星级）旅游饭店星级初审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137</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河南省乡村旅游单位星级评定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三星级以下（含三星级）乡村旅游单位的星级评定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138</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河南省乡村旅游单位星级评定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四星级以上（含四星级）乡村旅游单位星级初审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139</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绿色旅游饭店评定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金叶级绿色旅游饭店初审</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140</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绿色旅游饭店评定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银叶级绿色旅游饭店的评定</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141</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绿色旅游饭店评定</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银叶级绿色旅游饭店的复核</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r w:rsidR="0053012E" w:rsidRPr="0053012E">
        <w:trPr>
          <w:trHeight w:hRule="exact" w:val="397"/>
        </w:trPr>
        <w:tc>
          <w:tcPr>
            <w:tcW w:w="583" w:type="dxa"/>
            <w:shd w:val="clear" w:color="auto" w:fill="auto"/>
            <w:vAlign w:val="center"/>
          </w:tcPr>
          <w:p w:rsidR="0013641C" w:rsidRPr="0053012E" w:rsidRDefault="00303962">
            <w:pPr>
              <w:widowControl/>
              <w:jc w:val="center"/>
              <w:textAlignment w:val="center"/>
              <w:rPr>
                <w:rFonts w:ascii="宋体" w:eastAsia="宋体" w:hAnsi="宋体" w:cs="宋体"/>
                <w:sz w:val="22"/>
                <w:szCs w:val="22"/>
              </w:rPr>
            </w:pPr>
            <w:r w:rsidRPr="0053012E">
              <w:rPr>
                <w:rFonts w:ascii="宋体" w:eastAsia="宋体" w:hAnsi="宋体" w:cs="宋体" w:hint="eastAsia"/>
                <w:sz w:val="22"/>
                <w:szCs w:val="22"/>
              </w:rPr>
              <w:t>142</w:t>
            </w:r>
          </w:p>
        </w:tc>
        <w:tc>
          <w:tcPr>
            <w:tcW w:w="264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旅行社从业质量保证金管理</w:t>
            </w:r>
          </w:p>
        </w:tc>
        <w:tc>
          <w:tcPr>
            <w:tcW w:w="321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旅行社从业质量保证金管理</w:t>
            </w:r>
          </w:p>
        </w:tc>
        <w:tc>
          <w:tcPr>
            <w:tcW w:w="1452"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34"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436"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是</w:t>
            </w:r>
          </w:p>
        </w:tc>
        <w:tc>
          <w:tcPr>
            <w:tcW w:w="154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c>
          <w:tcPr>
            <w:tcW w:w="1515" w:type="dxa"/>
            <w:shd w:val="clear" w:color="auto" w:fill="auto"/>
            <w:vAlign w:val="center"/>
          </w:tcPr>
          <w:p w:rsidR="0013641C" w:rsidRPr="0053012E" w:rsidRDefault="00303962">
            <w:pPr>
              <w:widowControl/>
              <w:jc w:val="center"/>
              <w:textAlignment w:val="center"/>
              <w:rPr>
                <w:rFonts w:ascii="仿宋" w:eastAsia="仿宋" w:hAnsi="仿宋" w:cs="仿宋"/>
                <w:sz w:val="22"/>
                <w:szCs w:val="22"/>
              </w:rPr>
            </w:pPr>
            <w:r w:rsidRPr="0053012E">
              <w:rPr>
                <w:rFonts w:ascii="仿宋_GB2312" w:eastAsia="仿宋_GB2312" w:hAnsi="宋体" w:cs="仿宋_GB2312"/>
                <w:kern w:val="0"/>
                <w:sz w:val="22"/>
                <w:szCs w:val="22"/>
              </w:rPr>
              <w:t>否</w:t>
            </w:r>
          </w:p>
        </w:tc>
      </w:tr>
    </w:tbl>
    <w:p w:rsidR="0013641C" w:rsidRPr="0053012E" w:rsidRDefault="0013641C">
      <w:pPr>
        <w:spacing w:line="420" w:lineRule="exact"/>
        <w:rPr>
          <w:rFonts w:ascii="仿宋" w:eastAsia="仿宋" w:hAnsi="仿宋" w:cs="仿宋"/>
          <w:sz w:val="28"/>
          <w:szCs w:val="28"/>
        </w:rPr>
      </w:pPr>
    </w:p>
    <w:sectPr w:rsidR="0013641C" w:rsidRPr="0053012E" w:rsidSect="0013641C">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10" w:rsidRDefault="00570710" w:rsidP="0013641C">
      <w:r>
        <w:separator/>
      </w:r>
    </w:p>
  </w:endnote>
  <w:endnote w:type="continuationSeparator" w:id="0">
    <w:p w:rsidR="00570710" w:rsidRDefault="00570710" w:rsidP="0013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F489588-312C-4410-AD2D-9BADEF03C10B}"/>
  </w:font>
  <w:font w:name="黑体">
    <w:altName w:val="SimHei"/>
    <w:panose1 w:val="02010609060101010101"/>
    <w:charset w:val="86"/>
    <w:family w:val="modern"/>
    <w:pitch w:val="fixed"/>
    <w:sig w:usb0="800002BF" w:usb1="38CF7CFA" w:usb2="00000016" w:usb3="00000000" w:csb0="00040001" w:csb1="00000000"/>
    <w:embedRegular r:id="rId2" w:subsetted="1" w:fontKey="{6063777A-6B41-4318-A414-5C0CDCD53AFB}"/>
  </w:font>
  <w:font w:name="方正小标宋简体">
    <w:charset w:val="86"/>
    <w:family w:val="auto"/>
    <w:pitch w:val="default"/>
    <w:sig w:usb0="A00002BF" w:usb1="184F6CFA" w:usb2="00000012" w:usb3="00000000" w:csb0="00040001" w:csb1="00000000"/>
    <w:embedRegular r:id="rId3" w:subsetted="1" w:fontKey="{107143D0-6685-4C99-A64D-B83087D1E0B8}"/>
  </w:font>
  <w:font w:name="仿宋">
    <w:panose1 w:val="02010609060101010101"/>
    <w:charset w:val="86"/>
    <w:family w:val="modern"/>
    <w:pitch w:val="fixed"/>
    <w:sig w:usb0="800002BF" w:usb1="38CF7CFA" w:usb2="00000016" w:usb3="00000000" w:csb0="00040001" w:csb1="00000000"/>
    <w:embedRegular r:id="rId4" w:subsetted="1" w:fontKey="{E3BB50AF-4491-4D53-9142-8043D82ED407}"/>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1C" w:rsidRDefault="00570710">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3641C" w:rsidRDefault="0013641C">
                <w:pPr>
                  <w:pStyle w:val="a3"/>
                </w:pPr>
                <w:r>
                  <w:rPr>
                    <w:sz w:val="24"/>
                  </w:rPr>
                  <w:fldChar w:fldCharType="begin"/>
                </w:r>
                <w:r w:rsidR="00303962">
                  <w:rPr>
                    <w:sz w:val="24"/>
                  </w:rPr>
                  <w:instrText xml:space="preserve"> PAGE  \* MERGEFORMAT </w:instrText>
                </w:r>
                <w:r>
                  <w:rPr>
                    <w:sz w:val="24"/>
                  </w:rPr>
                  <w:fldChar w:fldCharType="separate"/>
                </w:r>
                <w:r w:rsidR="0053012E">
                  <w:rPr>
                    <w:noProof/>
                    <w:sz w:val="24"/>
                  </w:rPr>
                  <w:t>1</w:t>
                </w:r>
                <w:r>
                  <w:rPr>
                    <w:sz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10" w:rsidRDefault="00570710" w:rsidP="0013641C">
      <w:r>
        <w:separator/>
      </w:r>
    </w:p>
  </w:footnote>
  <w:footnote w:type="continuationSeparator" w:id="0">
    <w:p w:rsidR="00570710" w:rsidRDefault="00570710" w:rsidP="00136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4ZTkxMzBjNWZlYjkzNmI2YzUwZWI2MGI1MmE0ODUifQ=="/>
  </w:docVars>
  <w:rsids>
    <w:rsidRoot w:val="48253AF0"/>
    <w:rsid w:val="00092359"/>
    <w:rsid w:val="0013641C"/>
    <w:rsid w:val="00303962"/>
    <w:rsid w:val="0053012E"/>
    <w:rsid w:val="00570710"/>
    <w:rsid w:val="00866EDD"/>
    <w:rsid w:val="00E164FA"/>
    <w:rsid w:val="19F73C75"/>
    <w:rsid w:val="48253AF0"/>
    <w:rsid w:val="588051A9"/>
    <w:rsid w:val="59741916"/>
    <w:rsid w:val="6DFB0EFC"/>
    <w:rsid w:val="6E4A4185"/>
    <w:rsid w:val="717C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BAB38E"/>
  <w15:docId w15:val="{D72055E4-82A4-42DB-8EED-84FCF864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3641C"/>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1071</Words>
  <Characters>6105</Characters>
  <Application>Microsoft Office Word</Application>
  <DocSecurity>0</DocSecurity>
  <Lines>50</Lines>
  <Paragraphs>14</Paragraphs>
  <ScaleCrop>false</ScaleCrop>
  <Company>CHINA</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liansl</dc:creator>
  <cp:lastModifiedBy>Administrator</cp:lastModifiedBy>
  <cp:revision>3</cp:revision>
  <cp:lastPrinted>2022-10-14T09:40:00Z</cp:lastPrinted>
  <dcterms:created xsi:type="dcterms:W3CDTF">2022-10-18T12:05:00Z</dcterms:created>
  <dcterms:modified xsi:type="dcterms:W3CDTF">2022-11-15T10:01:00Z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BC77772E96E841839FFD1E9B4312DBC0</vt:lpwstr>
  </property>
</Properties>
</file>