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0"/>
          <w:szCs w:val="4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襄乡振</w:t>
      </w:r>
      <w:r>
        <w:rPr>
          <w:rFonts w:hint="default" w:ascii="Times New Roman" w:hAnsi="Times New Roman" w:eastAsia="仿宋_GB2312" w:cs="Times New Roman"/>
          <w:sz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</w:rPr>
        <w:t>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40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关于印发《襄城县庭院经济发展扶持方案》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的通知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pacing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各乡（镇、街道办）农业农村办公室（乡村振兴和扶贫开发办公室）、局属各股室和信息中心：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《襄城县关于庭院经济发展扶持方案》已经研究同意，现印发给你们，请结合实际，认真抓好落实。</w:t>
      </w: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襄城县乡村振兴局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宋体" w:eastAsia="仿宋_GB2312" w:cs="宋体"/>
          <w:spacing w:val="1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pacing w:val="11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spacing w:val="11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pacing w:val="11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pacing w:val="11"/>
          <w:sz w:val="32"/>
          <w:szCs w:val="32"/>
          <w:lang w:val="en-US" w:eastAsia="zh-CN"/>
        </w:rPr>
        <w:t xml:space="preserve">日 </w:t>
      </w:r>
    </w:p>
    <w:p>
      <w:pPr>
        <w:pStyle w:val="3"/>
        <w:rPr>
          <w:rFonts w:hint="eastAsia"/>
        </w:rPr>
        <w:sectPr>
          <w:footerReference r:id="rId5" w:type="default"/>
          <w:pgSz w:w="11906" w:h="16838"/>
          <w:pgMar w:top="2098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</w:rPr>
        <w:t>襄城县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庭院经济发展扶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eastAsia="zh-CN"/>
        </w:rPr>
        <w:t>持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方案（试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52"/>
          <w:lang w:val="en-US" w:eastAsia="zh-CN"/>
        </w:rPr>
        <w:t>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color w:val="000000"/>
          <w:spacing w:val="11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pacing w:val="11"/>
          <w:sz w:val="32"/>
          <w:szCs w:val="40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为深入贯彻习近平新时代中国特色社会主义思想，认真落实党的二十大及中央农村工作会议精神，千方百计拓宽群众增收渠道，提高群众收入水平，助力巩固拓展脱贫攻坚成果与乡村振兴有效衔接，按照《许昌市鼓励引导发展庭院经济工作方案》(许振兴〔2023〕4号)文件精神，结合工作实际，特</w:t>
      </w:r>
      <w:r>
        <w:rPr>
          <w:rFonts w:hint="eastAsia" w:ascii="仿宋_GB2312" w:hAnsi="仿宋_GB2312" w:eastAsia="仿宋_GB2312" w:cs="仿宋_GB2312"/>
          <w:spacing w:val="11"/>
          <w:sz w:val="32"/>
          <w:szCs w:val="40"/>
          <w:lang w:val="en-US" w:eastAsia="zh-CN"/>
        </w:rPr>
        <w:t>制定本扶持方案</w:t>
      </w:r>
      <w:r>
        <w:rPr>
          <w:rFonts w:hint="eastAsia" w:ascii="仿宋_GB2312" w:hAnsi="仿宋_GB2312" w:eastAsia="仿宋_GB2312" w:cs="仿宋_GB2312"/>
          <w:spacing w:val="11"/>
          <w:sz w:val="32"/>
          <w:szCs w:val="40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color w:val="auto"/>
          <w:spacing w:val="11"/>
        </w:rPr>
      </w:pPr>
      <w:r>
        <w:rPr>
          <w:rFonts w:ascii="黑体" w:hAnsi="宋体" w:eastAsia="黑体" w:cs="黑体"/>
          <w:color w:val="auto"/>
          <w:spacing w:val="11"/>
          <w:kern w:val="0"/>
          <w:sz w:val="31"/>
          <w:szCs w:val="31"/>
          <w:lang w:val="en-US" w:eastAsia="zh-CN" w:bidi="ar"/>
        </w:rPr>
        <w:t>一、</w:t>
      </w:r>
      <w:r>
        <w:rPr>
          <w:rFonts w:hint="eastAsia" w:ascii="黑体" w:hAnsi="宋体" w:eastAsia="黑体" w:cs="黑体"/>
          <w:color w:val="auto"/>
          <w:spacing w:val="11"/>
          <w:kern w:val="0"/>
          <w:sz w:val="31"/>
          <w:szCs w:val="31"/>
          <w:lang w:val="en-US" w:eastAsia="zh-CN" w:bidi="ar"/>
        </w:rPr>
        <w:t>目标任务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84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40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乡（镇）可根据实际自主申请创建示范村。每个示范村自主确定一个发展模式，至少发展10户以上示范户；该示范村内农户在保证经济效益与生态效益相统一、高效发展与绿色发展相统一的前提下，通过庭院、房前屋后荒地及闲置的宅基地发展庭院经济，增加经营性收入和资产性收入。经申报达到示范村标准的享受扶持政策。2023年拟选定山头店镇桥柿园村、紫云镇雷洞村、王洛镇西村、湛北乡北姚村、颍阳镇大路吴村五个示范村作为培育庭院经济第一批重点村，结合具体工作开展情况逐步扩大示范覆盖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spacing w:val="11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pacing w:val="11"/>
          <w:sz w:val="32"/>
          <w:szCs w:val="40"/>
          <w:lang w:val="en-US" w:eastAsia="zh-CN"/>
        </w:rPr>
        <w:t>二</w:t>
      </w:r>
      <w:r>
        <w:rPr>
          <w:rFonts w:hint="eastAsia" w:ascii="黑体" w:hAnsi="黑体" w:eastAsia="黑体" w:cs="黑体"/>
          <w:spacing w:val="11"/>
          <w:sz w:val="32"/>
          <w:szCs w:val="40"/>
        </w:rPr>
        <w:t>、</w:t>
      </w:r>
      <w:r>
        <w:rPr>
          <w:rFonts w:hint="eastAsia" w:ascii="黑体" w:hAnsi="黑体" w:eastAsia="黑体" w:cs="黑体"/>
          <w:spacing w:val="11"/>
          <w:sz w:val="32"/>
          <w:szCs w:val="40"/>
          <w:lang w:eastAsia="zh-CN"/>
        </w:rPr>
        <w:t>发展模式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87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pacing w:val="11"/>
          <w:sz w:val="32"/>
          <w:szCs w:val="32"/>
          <w:lang w:val="en-US" w:eastAsia="zh-CN" w:bidi="ar-SA"/>
        </w:rPr>
        <w:t>（一）发展庭院特色种植。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利用庭院和房前屋后土地，筛选市场前景好、附加值高的种植品种，重点支持发展中药材、食用菌、桑蚕、果蔬采摘等特色作物，着力打造微菜园、微果园、微菌园。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sz w:val="32"/>
          <w:szCs w:val="32"/>
          <w:lang w:val="en-US" w:eastAsia="zh-CN" w:bidi="ar-SA"/>
        </w:rPr>
        <w:t>（二）发展庭院特色养殖。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积极推广适合庭院养殖牛、猪、羊等特色优良品种，根据实际合理规划庭院生活区与养殖区，实现人畜分离、干净整洁。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kern w:val="2"/>
          <w:sz w:val="32"/>
          <w:szCs w:val="32"/>
          <w:lang w:val="en-US" w:eastAsia="zh-CN" w:bidi="ar-SA"/>
        </w:rPr>
        <w:t>（三）发展庭院特色产品。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传承创新乡村传统工艺，发展特色食品和特色手工艺品，培育乡村工匠，创响“土字号”乡村特色品牌。领办或创办家庭工厂、手工作坊，开发乡村特色文创产品。利用闲置庭院设立帮扶车间，带动群众增加收入。</w:t>
      </w:r>
    </w:p>
    <w:p>
      <w:pPr>
        <w:pStyle w:val="1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7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kern w:val="2"/>
          <w:sz w:val="32"/>
          <w:szCs w:val="32"/>
          <w:lang w:val="en-US" w:eastAsia="zh-CN" w:bidi="ar-SA"/>
        </w:rPr>
        <w:t>（四）发展庭院特色休闲旅游。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依托当地文化旅游资源，利用自有庭院发展特色民宿、农家乐等推进庭院经济与休闲农业、民宿旅游等融合发展，拓展庭院多重功能，促进农文旅融合。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sz w:val="32"/>
          <w:szCs w:val="32"/>
          <w:lang w:val="en-US" w:eastAsia="zh-CN" w:bidi="ar-SA"/>
        </w:rPr>
        <w:t>（五）发展庭院生产生活服务。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利用现有庭院开展代收代储、产品代销、原料加工、农资配送、农机作业等生产性服务。利用自有庭院新建（或扩建）电商销售点、直播带货点、快递代办点、开办小超市、小餐饮、理发店、修理店等生活性服务业，为村民提供便利服务，增加农户经营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11"/>
          <w:sz w:val="32"/>
          <w:szCs w:val="40"/>
          <w:lang w:eastAsia="zh-CN"/>
        </w:rPr>
      </w:pPr>
      <w:r>
        <w:rPr>
          <w:rFonts w:ascii="黑体" w:hAnsi="宋体" w:eastAsia="黑体" w:cs="黑体"/>
          <w:color w:val="000000"/>
          <w:spacing w:val="11"/>
          <w:kern w:val="0"/>
          <w:sz w:val="31"/>
          <w:szCs w:val="31"/>
          <w:lang w:val="en-US" w:eastAsia="zh-CN" w:bidi="ar"/>
        </w:rPr>
        <w:t>三、</w:t>
      </w:r>
      <w:r>
        <w:rPr>
          <w:rFonts w:hint="eastAsia" w:ascii="黑体" w:hAnsi="宋体" w:eastAsia="黑体" w:cs="黑体"/>
          <w:color w:val="000000"/>
          <w:spacing w:val="11"/>
          <w:kern w:val="0"/>
          <w:sz w:val="31"/>
          <w:szCs w:val="31"/>
          <w:lang w:val="en-US" w:eastAsia="zh-CN" w:bidi="ar"/>
        </w:rPr>
        <w:t>扶持</w:t>
      </w:r>
      <w:r>
        <w:rPr>
          <w:rFonts w:hint="eastAsia" w:ascii="黑体" w:hAnsi="黑体" w:eastAsia="黑体" w:cs="黑体"/>
          <w:spacing w:val="11"/>
          <w:sz w:val="32"/>
          <w:szCs w:val="40"/>
          <w:lang w:eastAsia="zh-CN"/>
        </w:rPr>
        <w:t>政策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7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pacing w:val="11"/>
          <w:kern w:val="2"/>
          <w:sz w:val="32"/>
          <w:szCs w:val="32"/>
          <w:lang w:val="en-US" w:eastAsia="zh-CN" w:bidi="ar-SA"/>
        </w:rPr>
        <w:t>（一）户贷户用。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对有发展庭院经济基础、有贷款意愿且符合授信条件的脱贫户、风险未消除的监测对象，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全面落实5万元以下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金融帮扶小额信用贷款，并按同期贷款基准利率给予全额补贴。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7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pacing w:val="11"/>
          <w:kern w:val="2"/>
          <w:sz w:val="32"/>
          <w:szCs w:val="32"/>
          <w:lang w:val="en-US" w:eastAsia="zh-CN" w:bidi="ar-SA"/>
        </w:rPr>
        <w:t>（二）精准扶贫企业贷。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企业、农民专业合作社等依托当地资源和产业优势，带动脱贫户、风险未消除的监测对象发展庭院经济，以统一供种、技术指导、产品保底价回收等方式与</w:t>
      </w:r>
      <w:r>
        <w:rPr>
          <w:rFonts w:hint="eastAsia" w:ascii="仿宋_GB2312" w:hAnsi="仿宋_GB2312" w:eastAsia="仿宋_GB2312" w:cs="仿宋_GB2312"/>
          <w:spacing w:val="11"/>
          <w:sz w:val="32"/>
          <w:szCs w:val="40"/>
          <w:lang w:val="en-US" w:eastAsia="zh-CN"/>
        </w:rPr>
        <w:t>“两类户”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建立利益联结机制。每带动一户脱贫户、风险未消除的监测户发展庭院经济，可申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请10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万元基准利率贷款。乡镇政府负责组织企业与脱贫户、风险未消除的监测户签订带贫协议，明确带贫责任。</w:t>
      </w:r>
    </w:p>
    <w:p>
      <w:pPr>
        <w:keepNext w:val="0"/>
        <w:keepLines w:val="0"/>
        <w:pageBreakBefore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7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color w:val="auto"/>
          <w:spacing w:val="11"/>
          <w:kern w:val="2"/>
          <w:sz w:val="32"/>
          <w:szCs w:val="32"/>
          <w:lang w:val="en-US" w:eastAsia="zh-CN" w:bidi="ar-SA"/>
        </w:rPr>
        <w:t>（三）资金项目支持。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在扶持发展庭院经济期间（2023年—2025年）财政衔接资金每年向示范村倾斜不低于50万元的项目，用于服务庭院经济发展（资金用途包括但不限于：示范村村内基础设施建设；示范村和示范户统一制作“庭院经济示范牌”；根据产业发展需求为示范村建设相应的设施等），项目建设由示范村申请，县乡村振兴局规划评价股统一实施。示范村内的脱贫户、风险未消除的监测对象发展该模式产业可享受“到户增收”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pacing w:val="11"/>
          <w:sz w:val="32"/>
          <w:szCs w:val="40"/>
        </w:rPr>
      </w:pPr>
      <w:r>
        <w:rPr>
          <w:rFonts w:hint="eastAsia" w:ascii="黑体" w:hAnsi="黑体" w:eastAsia="黑体" w:cs="黑体"/>
          <w:spacing w:val="11"/>
          <w:sz w:val="32"/>
          <w:szCs w:val="40"/>
          <w:lang w:eastAsia="zh-CN"/>
        </w:rPr>
        <w:t>四、</w:t>
      </w:r>
      <w:r>
        <w:rPr>
          <w:rFonts w:hint="eastAsia" w:ascii="黑体" w:hAnsi="黑体" w:eastAsia="黑体" w:cs="黑体"/>
          <w:spacing w:val="11"/>
          <w:sz w:val="32"/>
          <w:szCs w:val="40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sz w:val="32"/>
          <w:szCs w:val="40"/>
        </w:rPr>
        <w:t>(一)加强项目资金监督管理。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庭院经济示范村属地乡（镇）人民政府要加强庭院经济项目入库前的论证，完善利益联结机制。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sz w:val="32"/>
          <w:szCs w:val="40"/>
        </w:rPr>
        <w:t>(</w:t>
      </w:r>
      <w:r>
        <w:rPr>
          <w:rFonts w:hint="eastAsia" w:ascii="楷体" w:hAnsi="楷体" w:eastAsia="楷体" w:cs="楷体"/>
          <w:b/>
          <w:bCs/>
          <w:spacing w:val="11"/>
          <w:sz w:val="32"/>
          <w:szCs w:val="40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pacing w:val="11"/>
          <w:sz w:val="32"/>
          <w:szCs w:val="40"/>
        </w:rPr>
        <w:t>)强化项目保障措施。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县农业农村局、乡村振兴局要组织开展经常性监督检查，对检查中发现的问题责令限期整改，对整改不到位的，严肃追究相关部门和人员的责任。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spacing w:val="11"/>
          <w:sz w:val="32"/>
          <w:szCs w:val="40"/>
        </w:rPr>
        <w:t>(</w:t>
      </w:r>
      <w:r>
        <w:rPr>
          <w:rFonts w:hint="eastAsia" w:ascii="楷体" w:hAnsi="楷体" w:eastAsia="楷体" w:cs="楷体"/>
          <w:b/>
          <w:bCs/>
          <w:spacing w:val="11"/>
          <w:sz w:val="32"/>
          <w:szCs w:val="40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pacing w:val="11"/>
          <w:sz w:val="32"/>
          <w:szCs w:val="40"/>
        </w:rPr>
        <w:t>)强化追究问责。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根据《襄城县财政衔接推进乡村振兴补助资金管理办法》(襄财字〔2021〕18号)规定，对虚报项目来套取、骗取、挪用衔接资金，涉</w:t>
      </w:r>
      <w:r>
        <w:rPr>
          <w:rFonts w:hint="eastAsia" w:ascii="Times New Roman" w:hAnsi="Times New Roman" w:eastAsia="仿宋_GB2312" w:cs="Times New Roman"/>
          <w:color w:val="auto"/>
          <w:spacing w:val="11"/>
          <w:sz w:val="32"/>
          <w:szCs w:val="32"/>
          <w:lang w:val="en-US" w:eastAsia="zh-CN"/>
        </w:rPr>
        <w:t>嫌违纪违法</w:t>
      </w: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行为的，依法依纪移交纪检监察、司法机关处理。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color w:val="auto"/>
          <w:spacing w:val="11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11"/>
          <w:kern w:val="2"/>
          <w:sz w:val="32"/>
          <w:szCs w:val="32"/>
          <w:lang w:val="en-US" w:eastAsia="zh-CN" w:bidi="ar-SA"/>
        </w:rPr>
        <w:t>此文件自印发之日起施行，解释权归县乡村振兴局所有。</w:t>
      </w:r>
    </w:p>
    <w:sectPr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NzkyYjQxNDQ0OTgzOTMzYjc1MmM0NDZiNjU5OWQifQ=="/>
  </w:docVars>
  <w:rsids>
    <w:rsidRoot w:val="00000000"/>
    <w:rsid w:val="00337586"/>
    <w:rsid w:val="00844285"/>
    <w:rsid w:val="00A3295D"/>
    <w:rsid w:val="01821017"/>
    <w:rsid w:val="01E058CF"/>
    <w:rsid w:val="0246777B"/>
    <w:rsid w:val="028916DF"/>
    <w:rsid w:val="03AA4003"/>
    <w:rsid w:val="03E45B2B"/>
    <w:rsid w:val="04F419D9"/>
    <w:rsid w:val="05790131"/>
    <w:rsid w:val="057D30ED"/>
    <w:rsid w:val="059960DD"/>
    <w:rsid w:val="05B41169"/>
    <w:rsid w:val="05EC0FC1"/>
    <w:rsid w:val="06A44D39"/>
    <w:rsid w:val="06AB60C8"/>
    <w:rsid w:val="08396A3E"/>
    <w:rsid w:val="08831935"/>
    <w:rsid w:val="09151F1E"/>
    <w:rsid w:val="0BF11A4E"/>
    <w:rsid w:val="0C4A65F8"/>
    <w:rsid w:val="0C4F74F5"/>
    <w:rsid w:val="0DAD0977"/>
    <w:rsid w:val="0DB53CD0"/>
    <w:rsid w:val="0E1977E5"/>
    <w:rsid w:val="10E548CC"/>
    <w:rsid w:val="11333889"/>
    <w:rsid w:val="11366ED6"/>
    <w:rsid w:val="11A007F3"/>
    <w:rsid w:val="123F000C"/>
    <w:rsid w:val="126046D6"/>
    <w:rsid w:val="13F5216A"/>
    <w:rsid w:val="140432BB"/>
    <w:rsid w:val="14117786"/>
    <w:rsid w:val="144E09DA"/>
    <w:rsid w:val="14AD74AF"/>
    <w:rsid w:val="14E54E9B"/>
    <w:rsid w:val="167209B0"/>
    <w:rsid w:val="17E53404"/>
    <w:rsid w:val="17F92A0B"/>
    <w:rsid w:val="191E4E1F"/>
    <w:rsid w:val="19573E8D"/>
    <w:rsid w:val="1A8B64E4"/>
    <w:rsid w:val="1AC546B0"/>
    <w:rsid w:val="1B285AE1"/>
    <w:rsid w:val="1BCF41AF"/>
    <w:rsid w:val="1BE51C24"/>
    <w:rsid w:val="1C7A6810"/>
    <w:rsid w:val="1CB3587E"/>
    <w:rsid w:val="1CFF214E"/>
    <w:rsid w:val="1D063C00"/>
    <w:rsid w:val="1DF61EC7"/>
    <w:rsid w:val="1E1C16C0"/>
    <w:rsid w:val="1E334EC9"/>
    <w:rsid w:val="1EA96F39"/>
    <w:rsid w:val="1F72557D"/>
    <w:rsid w:val="1F7C464D"/>
    <w:rsid w:val="1FA31BDA"/>
    <w:rsid w:val="200A7EAB"/>
    <w:rsid w:val="208337BA"/>
    <w:rsid w:val="20CA13E8"/>
    <w:rsid w:val="2149055F"/>
    <w:rsid w:val="231B417D"/>
    <w:rsid w:val="23B95E70"/>
    <w:rsid w:val="256242E5"/>
    <w:rsid w:val="257302A1"/>
    <w:rsid w:val="25C43612"/>
    <w:rsid w:val="25E924A5"/>
    <w:rsid w:val="270F7B55"/>
    <w:rsid w:val="285223EF"/>
    <w:rsid w:val="285F2031"/>
    <w:rsid w:val="294C5091"/>
    <w:rsid w:val="296879F1"/>
    <w:rsid w:val="296E14AB"/>
    <w:rsid w:val="2BE9306B"/>
    <w:rsid w:val="2D3C366E"/>
    <w:rsid w:val="30182170"/>
    <w:rsid w:val="30527207"/>
    <w:rsid w:val="308C66BA"/>
    <w:rsid w:val="31104BF6"/>
    <w:rsid w:val="31A8432C"/>
    <w:rsid w:val="31B00187"/>
    <w:rsid w:val="32584AA6"/>
    <w:rsid w:val="348C0A37"/>
    <w:rsid w:val="35747E49"/>
    <w:rsid w:val="362311BF"/>
    <w:rsid w:val="36AA1648"/>
    <w:rsid w:val="37AB5678"/>
    <w:rsid w:val="380F5C07"/>
    <w:rsid w:val="381B0A50"/>
    <w:rsid w:val="388E51E6"/>
    <w:rsid w:val="39074B30"/>
    <w:rsid w:val="39365415"/>
    <w:rsid w:val="39BC3B6C"/>
    <w:rsid w:val="39EE428B"/>
    <w:rsid w:val="3AA35EFF"/>
    <w:rsid w:val="3AC802EF"/>
    <w:rsid w:val="3AD924FC"/>
    <w:rsid w:val="3B3616FD"/>
    <w:rsid w:val="3B895CD0"/>
    <w:rsid w:val="3BB76DCA"/>
    <w:rsid w:val="3C5F4C83"/>
    <w:rsid w:val="3DC94AAA"/>
    <w:rsid w:val="3DCB25D0"/>
    <w:rsid w:val="3DDD7D71"/>
    <w:rsid w:val="3E330175"/>
    <w:rsid w:val="41E55C2A"/>
    <w:rsid w:val="42482FE0"/>
    <w:rsid w:val="437C611B"/>
    <w:rsid w:val="43DD12AF"/>
    <w:rsid w:val="44246EDE"/>
    <w:rsid w:val="445B0426"/>
    <w:rsid w:val="447D214A"/>
    <w:rsid w:val="45014B29"/>
    <w:rsid w:val="457271D8"/>
    <w:rsid w:val="462F1C33"/>
    <w:rsid w:val="46A55988"/>
    <w:rsid w:val="48E22EC4"/>
    <w:rsid w:val="49063101"/>
    <w:rsid w:val="493A2D00"/>
    <w:rsid w:val="49B54E1B"/>
    <w:rsid w:val="4D203FBB"/>
    <w:rsid w:val="4D3A32CE"/>
    <w:rsid w:val="4D5D6578"/>
    <w:rsid w:val="4D602609"/>
    <w:rsid w:val="4DE17BEE"/>
    <w:rsid w:val="4ED35788"/>
    <w:rsid w:val="4F005E52"/>
    <w:rsid w:val="4FD317B8"/>
    <w:rsid w:val="50830AE8"/>
    <w:rsid w:val="50A867A1"/>
    <w:rsid w:val="51071719"/>
    <w:rsid w:val="51F7178E"/>
    <w:rsid w:val="53F02939"/>
    <w:rsid w:val="54F9581D"/>
    <w:rsid w:val="55BB0D24"/>
    <w:rsid w:val="561E408C"/>
    <w:rsid w:val="56E95FD0"/>
    <w:rsid w:val="572C012C"/>
    <w:rsid w:val="577E200A"/>
    <w:rsid w:val="57E9601D"/>
    <w:rsid w:val="57F71D28"/>
    <w:rsid w:val="57FB7AFE"/>
    <w:rsid w:val="581E27FC"/>
    <w:rsid w:val="58782EFD"/>
    <w:rsid w:val="587D0513"/>
    <w:rsid w:val="588B0E82"/>
    <w:rsid w:val="5A6B0F6B"/>
    <w:rsid w:val="5AED7BD2"/>
    <w:rsid w:val="5B7420A1"/>
    <w:rsid w:val="5B7C0F56"/>
    <w:rsid w:val="5BC30933"/>
    <w:rsid w:val="5C5C2FCC"/>
    <w:rsid w:val="5CBA1D36"/>
    <w:rsid w:val="5D327B1E"/>
    <w:rsid w:val="5DF9688E"/>
    <w:rsid w:val="5E111E29"/>
    <w:rsid w:val="5E9E48C1"/>
    <w:rsid w:val="60963242"/>
    <w:rsid w:val="60C90799"/>
    <w:rsid w:val="613E2DAE"/>
    <w:rsid w:val="623847CF"/>
    <w:rsid w:val="632536EF"/>
    <w:rsid w:val="633D249C"/>
    <w:rsid w:val="6381535B"/>
    <w:rsid w:val="63934939"/>
    <w:rsid w:val="63BA086D"/>
    <w:rsid w:val="63BA6ABF"/>
    <w:rsid w:val="63EF49BB"/>
    <w:rsid w:val="6450287C"/>
    <w:rsid w:val="64682077"/>
    <w:rsid w:val="647E5D3F"/>
    <w:rsid w:val="658630FD"/>
    <w:rsid w:val="662D5327"/>
    <w:rsid w:val="66682803"/>
    <w:rsid w:val="66A3383B"/>
    <w:rsid w:val="66F75934"/>
    <w:rsid w:val="67DF3095"/>
    <w:rsid w:val="695F613F"/>
    <w:rsid w:val="6A266C5C"/>
    <w:rsid w:val="6A7F45BF"/>
    <w:rsid w:val="6AEB57B0"/>
    <w:rsid w:val="6AED1528"/>
    <w:rsid w:val="6C180827"/>
    <w:rsid w:val="6D1F1741"/>
    <w:rsid w:val="6D567859"/>
    <w:rsid w:val="6E777A87"/>
    <w:rsid w:val="6E985C4F"/>
    <w:rsid w:val="6E9F0D8B"/>
    <w:rsid w:val="70495453"/>
    <w:rsid w:val="70FE623D"/>
    <w:rsid w:val="712026E3"/>
    <w:rsid w:val="71F47640"/>
    <w:rsid w:val="71FB09CF"/>
    <w:rsid w:val="72021B5A"/>
    <w:rsid w:val="72A746B3"/>
    <w:rsid w:val="737722D7"/>
    <w:rsid w:val="73BA52FB"/>
    <w:rsid w:val="73D2575F"/>
    <w:rsid w:val="7487654A"/>
    <w:rsid w:val="75114065"/>
    <w:rsid w:val="766A7ED1"/>
    <w:rsid w:val="78EE303B"/>
    <w:rsid w:val="798B6ADC"/>
    <w:rsid w:val="79FA156C"/>
    <w:rsid w:val="7ADB139D"/>
    <w:rsid w:val="7B3E36DA"/>
    <w:rsid w:val="7BE40725"/>
    <w:rsid w:val="7BE57DD3"/>
    <w:rsid w:val="7BF30969"/>
    <w:rsid w:val="7C433AEA"/>
    <w:rsid w:val="7CF20C20"/>
    <w:rsid w:val="7D567401"/>
    <w:rsid w:val="7D9D0B8C"/>
    <w:rsid w:val="7E386B07"/>
    <w:rsid w:val="7FB1753E"/>
    <w:rsid w:val="7FC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Body Text 2"/>
    <w:basedOn w:val="1"/>
    <w:unhideWhenUsed/>
    <w:qFormat/>
    <w:uiPriority w:val="99"/>
    <w:pPr>
      <w:spacing w:after="120" w:line="480" w:lineRule="auto"/>
    </w:pPr>
    <w:rPr>
      <w:rFonts w:hint="default"/>
      <w:sz w:val="21"/>
    </w:rPr>
  </w:style>
  <w:style w:type="paragraph" w:styleId="7">
    <w:name w:val="Normal Indent"/>
    <w:basedOn w:val="1"/>
    <w:qFormat/>
    <w:uiPriority w:val="0"/>
    <w:pPr>
      <w:ind w:firstLine="420" w:firstLine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1701</Words>
  <Characters>1727</Characters>
  <Lines>0</Lines>
  <Paragraphs>0</Paragraphs>
  <TotalTime>3</TotalTime>
  <ScaleCrop>false</ScaleCrop>
  <LinksUpToDate>false</LinksUpToDate>
  <CharactersWithSpaces>1758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2021-10-22T01:37:00Z</dcterms:created>
  <dc:creator>Administrator</dc:creator>
  <cp:lastModifiedBy>鱼</cp:lastModifiedBy>
  <cp:lastPrinted>2023-04-11T00:57:00Z</cp:lastPrinted>
  <dcterms:modified xsi:type="dcterms:W3CDTF">2023-04-25T08:55:53Z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D133AD2736FC432BAF3366F12E26C19A_13</vt:lpwstr>
  </property>
</Properties>
</file>