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240" w:lineRule="auto"/>
        <w:ind w:right="0" w:rightChars="0"/>
        <w:jc w:val="center"/>
        <w:textAlignment w:val="auto"/>
        <w:rPr>
          <w:rFonts w:hint="eastAsia" w:ascii="方正小标宋简体" w:hAnsi="方正小标宋简体" w:eastAsia="方正小标宋简体" w:cs="方正小标宋简体"/>
          <w:b w:val="0"/>
          <w:bCs w:val="0"/>
          <w:i w:val="0"/>
          <w:caps w:val="0"/>
          <w:color w:val="auto"/>
          <w:spacing w:val="0"/>
          <w:kern w:val="0"/>
          <w:sz w:val="32"/>
          <w:szCs w:val="32"/>
          <w:shd w:val="clear" w:fill="FFFFFF"/>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240" w:lineRule="auto"/>
        <w:ind w:right="0" w:rightChars="0"/>
        <w:jc w:val="center"/>
        <w:textAlignment w:val="auto"/>
        <w:rPr>
          <w:rFonts w:hint="eastAsia" w:ascii="方正大标宋简体" w:hAnsi="方正大标宋简体" w:eastAsia="方正大标宋简体" w:cs="方正大标宋简体"/>
          <w:b/>
          <w:bCs/>
          <w:i w:val="0"/>
          <w:caps w:val="0"/>
          <w:color w:val="auto"/>
          <w:spacing w:val="0"/>
          <w:kern w:val="0"/>
          <w:sz w:val="44"/>
          <w:szCs w:val="44"/>
          <w:shd w:val="clear" w:fill="FFFFFF"/>
          <w:lang w:val="en-US" w:eastAsia="zh-CN" w:bidi="ar"/>
        </w:rPr>
      </w:pPr>
      <w:r>
        <w:rPr>
          <w:rFonts w:hint="eastAsia" w:ascii="方正小标宋简体" w:hAnsi="方正小标宋简体" w:eastAsia="方正小标宋简体" w:cs="方正小标宋简体"/>
          <w:b w:val="0"/>
          <w:bCs w:val="0"/>
          <w:i w:val="0"/>
          <w:caps w:val="0"/>
          <w:color w:val="auto"/>
          <w:spacing w:val="0"/>
          <w:kern w:val="0"/>
          <w:sz w:val="44"/>
          <w:szCs w:val="44"/>
          <w:shd w:val="clear" w:fill="FFFFFF"/>
          <w:lang w:val="en-US" w:eastAsia="zh-CN" w:bidi="ar"/>
        </w:rPr>
        <w:t>襄城县2019年推进三产服务业高质量发展实施方案</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620" w:lineRule="exact"/>
        <w:ind w:left="0" w:leftChars="0" w:right="0" w:rightChars="0" w:firstLine="0" w:firstLineChars="0"/>
        <w:jc w:val="center"/>
        <w:textAlignment w:val="bottom"/>
        <w:outlineLvl w:val="9"/>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（征求意见稿）</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600" w:lineRule="exact"/>
        <w:ind w:right="0" w:rightChars="0" w:firstLine="684" w:firstLineChars="200"/>
        <w:jc w:val="both"/>
        <w:textAlignment w:val="auto"/>
        <w:rPr>
          <w:rFonts w:hint="eastAsia" w:ascii="仿宋_GB2312" w:hAnsi="仿宋_GB2312" w:eastAsia="仿宋_GB2312"/>
          <w:color w:val="auto"/>
          <w:spacing w:val="11"/>
          <w:sz w:val="32"/>
        </w:rPr>
      </w:pP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600" w:lineRule="exact"/>
        <w:ind w:leftChars="0" w:right="0" w:rightChars="0" w:firstLine="684" w:firstLineChars="200"/>
        <w:jc w:val="both"/>
        <w:textAlignment w:val="auto"/>
        <w:rPr>
          <w:rFonts w:hint="eastAsia" w:ascii="仿宋" w:hAnsi="仿宋" w:eastAsia="仿宋" w:cs="仿宋"/>
          <w:b w:val="0"/>
          <w:i w:val="0"/>
          <w:caps w:val="0"/>
          <w:color w:val="auto"/>
          <w:spacing w:val="0"/>
          <w:sz w:val="32"/>
          <w:szCs w:val="32"/>
          <w:shd w:val="clear" w:fill="FFFFFF"/>
          <w:lang w:val="en-US" w:eastAsia="zh-CN"/>
        </w:rPr>
      </w:pPr>
      <w:r>
        <w:rPr>
          <w:rFonts w:hint="eastAsia" w:ascii="仿宋_GB2312" w:hAnsi="仿宋_GB2312" w:eastAsia="仿宋_GB2312" w:cs="仿宋_GB2312"/>
          <w:color w:val="auto"/>
          <w:spacing w:val="11"/>
          <w:sz w:val="32"/>
          <w:szCs w:val="32"/>
        </w:rPr>
        <w:t>为贯彻落实</w:t>
      </w:r>
      <w:r>
        <w:rPr>
          <w:rFonts w:hint="eastAsia" w:ascii="仿宋_GB2312" w:hAnsi="仿宋_GB2312" w:eastAsia="仿宋_GB2312" w:cs="仿宋_GB2312"/>
          <w:color w:val="auto"/>
          <w:sz w:val="32"/>
          <w:szCs w:val="32"/>
        </w:rPr>
        <w:t>中央和省</w:t>
      </w:r>
      <w:r>
        <w:rPr>
          <w:rFonts w:hint="eastAsia" w:ascii="仿宋_GB2312" w:hAnsi="仿宋_GB2312" w:eastAsia="仿宋_GB2312" w:cs="仿宋_GB2312"/>
          <w:color w:val="auto"/>
          <w:sz w:val="32"/>
          <w:szCs w:val="32"/>
          <w:lang w:eastAsia="zh-CN"/>
        </w:rPr>
        <w:t>、市经济工作会议精神和县委、县政府的</w:t>
      </w:r>
      <w:r>
        <w:rPr>
          <w:rFonts w:hint="eastAsia" w:ascii="仿宋_GB2312" w:hAnsi="仿宋_GB2312" w:eastAsia="仿宋_GB2312" w:cs="仿宋_GB2312"/>
          <w:color w:val="auto"/>
          <w:sz w:val="32"/>
          <w:szCs w:val="32"/>
        </w:rPr>
        <w:t>决策部署</w:t>
      </w:r>
      <w:r>
        <w:rPr>
          <w:rFonts w:hint="eastAsia" w:ascii="仿宋_GB2312" w:hAnsi="仿宋_GB2312" w:eastAsia="仿宋_GB2312" w:cs="仿宋_GB2312"/>
          <w:color w:val="auto"/>
          <w:sz w:val="32"/>
          <w:szCs w:val="32"/>
          <w:lang w:eastAsia="zh-CN"/>
        </w:rPr>
        <w:t>，根据</w:t>
      </w:r>
      <w:r>
        <w:rPr>
          <w:rFonts w:hint="eastAsia" w:ascii="仿宋_GB2312" w:hAnsi="仿宋_GB2312" w:eastAsia="仿宋_GB2312" w:cs="仿宋_GB2312"/>
          <w:color w:val="auto"/>
          <w:spacing w:val="11"/>
          <w:sz w:val="32"/>
          <w:szCs w:val="32"/>
        </w:rPr>
        <w:t>《</w:t>
      </w:r>
      <w:r>
        <w:rPr>
          <w:rFonts w:hint="eastAsia" w:ascii="仿宋_GB2312" w:hAnsi="仿宋_GB2312" w:eastAsia="仿宋_GB2312" w:cs="仿宋_GB2312"/>
          <w:color w:val="auto"/>
          <w:sz w:val="32"/>
          <w:szCs w:val="32"/>
          <w:lang w:eastAsia="zh-CN"/>
        </w:rPr>
        <w:t>中共</w:t>
      </w:r>
      <w:r>
        <w:rPr>
          <w:rFonts w:hint="eastAsia" w:ascii="仿宋_GB2312" w:hAnsi="仿宋_GB2312" w:eastAsia="仿宋_GB2312" w:cs="仿宋_GB2312"/>
          <w:color w:val="auto"/>
          <w:spacing w:val="11"/>
          <w:sz w:val="32"/>
          <w:szCs w:val="32"/>
        </w:rPr>
        <w:t>许昌市委</w:t>
      </w:r>
      <w:r>
        <w:rPr>
          <w:rFonts w:hint="eastAsia" w:ascii="仿宋_GB2312" w:hAnsi="仿宋_GB2312" w:eastAsia="仿宋_GB2312" w:cs="仿宋_GB2312"/>
          <w:color w:val="auto"/>
          <w:spacing w:val="11"/>
          <w:sz w:val="32"/>
          <w:szCs w:val="32"/>
          <w:lang w:val="en-US" w:eastAsia="zh-CN"/>
        </w:rPr>
        <w:t xml:space="preserve"> </w:t>
      </w:r>
      <w:r>
        <w:rPr>
          <w:rFonts w:hint="eastAsia" w:ascii="仿宋_GB2312" w:hAnsi="仿宋_GB2312" w:eastAsia="仿宋_GB2312" w:cs="仿宋_GB2312"/>
          <w:color w:val="auto"/>
          <w:spacing w:val="11"/>
          <w:sz w:val="32"/>
          <w:szCs w:val="32"/>
          <w:lang w:eastAsia="zh-CN"/>
        </w:rPr>
        <w:t>许昌市人民政府</w:t>
      </w:r>
      <w:r>
        <w:rPr>
          <w:rFonts w:hint="eastAsia" w:ascii="仿宋_GB2312" w:hAnsi="仿宋_GB2312" w:eastAsia="仿宋_GB2312" w:cs="仿宋_GB2312"/>
          <w:color w:val="auto"/>
          <w:spacing w:val="11"/>
          <w:sz w:val="32"/>
          <w:szCs w:val="32"/>
        </w:rPr>
        <w:t>关于加快建设现代服务业强市的实施意见》(许发〔2017〕15号)</w:t>
      </w:r>
      <w:r>
        <w:rPr>
          <w:rFonts w:hint="eastAsia" w:ascii="仿宋_GB2312" w:hAnsi="仿宋_GB2312" w:eastAsia="仿宋_GB2312" w:cs="仿宋_GB2312"/>
          <w:color w:val="auto"/>
          <w:spacing w:val="11"/>
          <w:sz w:val="32"/>
          <w:szCs w:val="32"/>
          <w:lang w:eastAsia="zh-CN"/>
        </w:rPr>
        <w:t>和</w:t>
      </w:r>
      <w:r>
        <w:rPr>
          <w:rFonts w:hint="eastAsia" w:ascii="仿宋_GB2312" w:hAnsi="仿宋_GB2312" w:eastAsia="仿宋_GB2312" w:cs="仿宋_GB2312"/>
          <w:b w:val="0"/>
          <w:bCs w:val="0"/>
          <w:color w:val="auto"/>
          <w:spacing w:val="0"/>
          <w:w w:val="100"/>
          <w:position w:val="0"/>
          <w:sz w:val="32"/>
          <w:szCs w:val="32"/>
          <w:lang w:val="en-US" w:eastAsia="zh-CN"/>
        </w:rPr>
        <w:t>《中共襄城县委 襄城县人民政府</w:t>
      </w:r>
      <w:r>
        <w:rPr>
          <w:rFonts w:hint="eastAsia" w:ascii="仿宋_GB2312" w:hAnsi="仿宋_GB2312" w:eastAsia="仿宋_GB2312" w:cs="仿宋_GB2312"/>
          <w:color w:val="auto"/>
          <w:spacing w:val="11"/>
          <w:sz w:val="32"/>
          <w:szCs w:val="32"/>
          <w:lang w:eastAsia="zh-CN"/>
        </w:rPr>
        <w:t>关于</w:t>
      </w:r>
      <w:r>
        <w:rPr>
          <w:rFonts w:hint="eastAsia" w:ascii="仿宋_GB2312" w:hAnsi="仿宋_GB2312" w:eastAsia="仿宋_GB2312" w:cs="仿宋_GB2312"/>
          <w:b w:val="0"/>
          <w:bCs w:val="0"/>
          <w:color w:val="auto"/>
          <w:spacing w:val="0"/>
          <w:sz w:val="32"/>
          <w:szCs w:val="32"/>
        </w:rPr>
        <w:t>加快服务业转型发展的实施意见</w:t>
      </w:r>
      <w:r>
        <w:rPr>
          <w:rFonts w:hint="eastAsia" w:ascii="仿宋_GB2312" w:hAnsi="仿宋_GB2312" w:eastAsia="仿宋_GB2312" w:cs="仿宋_GB2312"/>
          <w:b w:val="0"/>
          <w:bCs w:val="0"/>
          <w:color w:val="auto"/>
          <w:spacing w:val="0"/>
          <w:w w:val="100"/>
          <w:position w:val="0"/>
          <w:sz w:val="32"/>
          <w:szCs w:val="32"/>
          <w:lang w:val="en-US" w:eastAsia="zh-CN"/>
        </w:rPr>
        <w:t>》</w:t>
      </w:r>
      <w:r>
        <w:rPr>
          <w:rFonts w:hint="eastAsia" w:ascii="仿宋_GB2312" w:hAnsi="仿宋_GB2312" w:eastAsia="仿宋_GB2312" w:cs="仿宋_GB2312"/>
          <w:b w:val="0"/>
          <w:bCs w:val="0"/>
          <w:color w:val="auto"/>
          <w:spacing w:val="0"/>
          <w:sz w:val="32"/>
          <w:szCs w:val="32"/>
          <w:lang w:eastAsia="zh-CN"/>
        </w:rPr>
        <w:t>（</w:t>
      </w:r>
      <w:r>
        <w:rPr>
          <w:rFonts w:hint="eastAsia" w:ascii="仿宋_GB2312" w:hAnsi="仿宋_GB2312" w:eastAsia="仿宋_GB2312" w:cs="仿宋_GB2312"/>
          <w:b w:val="0"/>
          <w:bCs w:val="0"/>
          <w:color w:val="auto"/>
          <w:spacing w:val="0"/>
          <w:sz w:val="32"/>
          <w:szCs w:val="32"/>
        </w:rPr>
        <w:t>襄发〔2017〕39号</w:t>
      </w:r>
      <w:r>
        <w:rPr>
          <w:rFonts w:hint="eastAsia" w:ascii="仿宋_GB2312" w:hAnsi="仿宋_GB2312" w:eastAsia="仿宋_GB2312" w:cs="仿宋_GB2312"/>
          <w:b w:val="0"/>
          <w:bCs w:val="0"/>
          <w:color w:val="auto"/>
          <w:spacing w:val="0"/>
          <w:sz w:val="32"/>
          <w:szCs w:val="32"/>
          <w:lang w:eastAsia="zh-CN"/>
        </w:rPr>
        <w:t>）</w:t>
      </w:r>
      <w:r>
        <w:rPr>
          <w:rFonts w:hint="eastAsia" w:ascii="仿宋_GB2312" w:hAnsi="仿宋_GB2312" w:eastAsia="仿宋_GB2312" w:cs="仿宋_GB2312"/>
          <w:b w:val="0"/>
          <w:bCs w:val="0"/>
          <w:color w:val="auto"/>
          <w:spacing w:val="0"/>
          <w:sz w:val="32"/>
          <w:szCs w:val="32"/>
          <w:lang w:eastAsia="zh-CN"/>
        </w:rPr>
        <w:t>等</w:t>
      </w:r>
      <w:r>
        <w:rPr>
          <w:rFonts w:hint="eastAsia" w:ascii="仿宋_GB2312" w:hAnsi="仿宋_GB2312" w:eastAsia="仿宋_GB2312" w:cs="仿宋_GB2312"/>
          <w:b w:val="0"/>
          <w:bCs w:val="0"/>
          <w:color w:val="auto"/>
          <w:spacing w:val="0"/>
          <w:w w:val="100"/>
          <w:position w:val="0"/>
          <w:sz w:val="32"/>
          <w:szCs w:val="32"/>
          <w:lang w:val="en-US" w:eastAsia="zh-CN"/>
        </w:rPr>
        <w:t>文件精神</w:t>
      </w:r>
      <w:r>
        <w:rPr>
          <w:rFonts w:hint="eastAsia" w:ascii="仿宋_GB2312" w:hAnsi="仿宋_GB2312" w:eastAsia="仿宋_GB2312" w:cs="仿宋_GB2312"/>
          <w:b w:val="0"/>
          <w:i w:val="0"/>
          <w:caps w:val="0"/>
          <w:color w:val="auto"/>
          <w:spacing w:val="0"/>
          <w:sz w:val="32"/>
          <w:szCs w:val="32"/>
          <w:shd w:val="clear" w:fill="FFFFFF"/>
          <w:lang w:val="en-US" w:eastAsia="zh-CN"/>
        </w:rPr>
        <w:t>，围绕进一步推进</w:t>
      </w:r>
      <w:r>
        <w:rPr>
          <w:rFonts w:hint="eastAsia" w:ascii="仿宋_GB2312" w:hAnsi="仿宋_GB2312" w:eastAsia="仿宋_GB2312" w:cs="仿宋_GB2312"/>
          <w:color w:val="auto"/>
          <w:spacing w:val="11"/>
          <w:sz w:val="32"/>
          <w:szCs w:val="32"/>
        </w:rPr>
        <w:t>我县三产服务业</w:t>
      </w:r>
      <w:r>
        <w:rPr>
          <w:rFonts w:hint="eastAsia" w:ascii="仿宋_GB2312" w:hAnsi="仿宋_GB2312" w:eastAsia="仿宋_GB2312" w:cs="仿宋_GB2312"/>
          <w:color w:val="auto"/>
          <w:spacing w:val="11"/>
          <w:sz w:val="32"/>
          <w:szCs w:val="32"/>
          <w:lang w:eastAsia="zh-CN"/>
        </w:rPr>
        <w:t>高质量</w:t>
      </w:r>
      <w:r>
        <w:rPr>
          <w:rFonts w:hint="eastAsia" w:ascii="仿宋_GB2312" w:hAnsi="仿宋_GB2312" w:eastAsia="仿宋_GB2312" w:cs="仿宋_GB2312"/>
          <w:color w:val="auto"/>
          <w:spacing w:val="11"/>
          <w:sz w:val="32"/>
          <w:szCs w:val="32"/>
        </w:rPr>
        <w:t>发展，促进产业结构优化和经济转型升级</w:t>
      </w:r>
      <w:r>
        <w:rPr>
          <w:rFonts w:hint="eastAsia" w:ascii="仿宋_GB2312" w:hAnsi="仿宋_GB2312" w:eastAsia="仿宋_GB2312" w:cs="仿宋_GB2312"/>
          <w:color w:val="auto"/>
          <w:spacing w:val="11"/>
          <w:sz w:val="32"/>
          <w:szCs w:val="32"/>
          <w:lang w:eastAsia="zh-CN"/>
        </w:rPr>
        <w:t>的工作目标</w:t>
      </w:r>
      <w:r>
        <w:rPr>
          <w:rFonts w:hint="eastAsia" w:ascii="仿宋_GB2312" w:hAnsi="仿宋_GB2312" w:eastAsia="仿宋_GB2312" w:cs="仿宋_GB2312"/>
          <w:color w:val="auto"/>
          <w:spacing w:val="11"/>
          <w:sz w:val="32"/>
          <w:szCs w:val="32"/>
        </w:rPr>
        <w:t>，</w:t>
      </w:r>
      <w:r>
        <w:rPr>
          <w:rFonts w:hint="eastAsia" w:ascii="仿宋_GB2312" w:hAnsi="仿宋_GB2312" w:eastAsia="仿宋_GB2312" w:cs="仿宋_GB2312"/>
          <w:b w:val="0"/>
          <w:i w:val="0"/>
          <w:caps w:val="0"/>
          <w:color w:val="auto"/>
          <w:spacing w:val="0"/>
          <w:sz w:val="32"/>
          <w:szCs w:val="32"/>
          <w:shd w:val="clear" w:fill="FFFFFF"/>
          <w:lang w:val="en-US" w:eastAsia="zh-CN"/>
        </w:rPr>
        <w:t>按照全县服务业发展的总体部署和重点工作，特制定本</w:t>
      </w:r>
      <w:r>
        <w:rPr>
          <w:rFonts w:hint="eastAsia" w:ascii="仿宋_GB2312" w:hAnsi="仿宋_GB2312" w:eastAsia="仿宋_GB2312" w:cs="仿宋_GB2312"/>
          <w:b w:val="0"/>
          <w:i w:val="0"/>
          <w:caps w:val="0"/>
          <w:color w:val="auto"/>
          <w:spacing w:val="0"/>
          <w:sz w:val="32"/>
          <w:szCs w:val="32"/>
          <w:shd w:val="clear" w:fill="FFFFFF"/>
          <w:lang w:val="en-US" w:eastAsia="zh-CN"/>
        </w:rPr>
        <w:t>实施</w:t>
      </w:r>
      <w:r>
        <w:rPr>
          <w:rFonts w:hint="eastAsia" w:ascii="仿宋_GB2312" w:hAnsi="仿宋_GB2312" w:eastAsia="仿宋_GB2312" w:cs="仿宋_GB2312"/>
          <w:b w:val="0"/>
          <w:i w:val="0"/>
          <w:caps w:val="0"/>
          <w:color w:val="auto"/>
          <w:spacing w:val="0"/>
          <w:sz w:val="32"/>
          <w:szCs w:val="32"/>
          <w:shd w:val="clear" w:fill="FFFFFF"/>
          <w:lang w:val="en-US" w:eastAsia="zh-CN"/>
        </w:rPr>
        <w:t>方案。</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hint="eastAsia" w:ascii="黑体" w:hAnsi="黑体" w:eastAsia="黑体" w:cs="黑体"/>
          <w:color w:val="auto"/>
          <w:spacing w:val="0"/>
          <w:sz w:val="32"/>
        </w:rPr>
      </w:pPr>
      <w:r>
        <w:rPr>
          <w:rFonts w:hint="eastAsia" w:ascii="黑体" w:hAnsi="黑体" w:eastAsia="黑体" w:cs="黑体"/>
          <w:color w:val="auto"/>
          <w:spacing w:val="0"/>
          <w:sz w:val="32"/>
        </w:rPr>
        <w:t>一、</w:t>
      </w:r>
      <w:r>
        <w:rPr>
          <w:rFonts w:hint="eastAsia" w:ascii="黑体" w:hAnsi="黑体" w:eastAsia="黑体" w:cs="黑体"/>
          <w:color w:val="auto"/>
          <w:spacing w:val="0"/>
          <w:sz w:val="32"/>
          <w:lang w:eastAsia="zh-CN"/>
        </w:rPr>
        <w:t>指导思想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lang w:val="en-US" w:eastAsia="zh-CN"/>
        </w:rPr>
      </w:pPr>
      <w:r>
        <w:rPr>
          <w:rFonts w:hint="eastAsia" w:ascii="仿宋_GB2312" w:hAnsi="仿宋_GB2312" w:eastAsia="仿宋_GB2312" w:cs="仿宋_GB2312"/>
          <w:color w:val="auto"/>
          <w:sz w:val="32"/>
          <w:szCs w:val="32"/>
        </w:rPr>
        <w:t>以习近平新时代中国特色社会主义思想为指导，全面贯彻党的十九大和十九届二中三中全会精神及中央经济工作会议精神，认真落实省委十届八次全会精神，</w:t>
      </w:r>
      <w:r>
        <w:rPr>
          <w:rFonts w:hint="eastAsia" w:ascii="仿宋_GB2312" w:hAnsi="仿宋_GB2312" w:eastAsia="仿宋_GB2312" w:cs="仿宋_GB2312"/>
          <w:b w:val="0"/>
          <w:bCs w:val="0"/>
          <w:color w:val="auto"/>
          <w:spacing w:val="0"/>
          <w:sz w:val="32"/>
          <w:lang w:val="en-US" w:eastAsia="zh-CN"/>
        </w:rPr>
        <w:t>坚持“五大发展理念”，坚持把推进服务业高质量发展服务业作为我县“调结构、促发展、稳增长、惠民生”的战略举措，围绕建设现代服务业强县总体目标，释放园区建设辐射带动功能，深挖重大项目支撑作用，以文化旅游业为龙头，重点发展特色旅游业，突出发展现代物流、金融科技、信息服务业、健康养老业，着力提升商贸流通业、住宿餐饮业、房地产业，深入推进服务业与一产、二产深度融合，加速推进服务业向高端高质、创新驱动、融合集聚、多元开放的方向转型升级，全面提升我县服务业发展整体水平。</w:t>
      </w:r>
    </w:p>
    <w:p>
      <w:pPr>
        <w:keepNext w:val="0"/>
        <w:keepLines w:val="0"/>
        <w:pageBreakBefore w:val="0"/>
        <w:widowControl w:val="0"/>
        <w:numPr>
          <w:ilvl w:val="0"/>
          <w:numId w:val="0"/>
        </w:numPr>
        <w:kinsoku/>
        <w:wordWrap/>
        <w:overflowPunct/>
        <w:topLinePunct w:val="0"/>
        <w:autoSpaceDE/>
        <w:autoSpaceDN/>
        <w:bidi w:val="0"/>
        <w:adjustRightInd/>
        <w:spacing w:line="600" w:lineRule="exact"/>
        <w:ind w:right="0" w:rightChars="0" w:firstLine="640" w:firstLineChars="200"/>
        <w:jc w:val="both"/>
        <w:textAlignment w:val="auto"/>
        <w:outlineLvl w:val="9"/>
        <w:rPr>
          <w:rFonts w:hint="eastAsia" w:ascii="黑体" w:hAnsi="黑体" w:eastAsia="黑体" w:cs="黑体"/>
          <w:color w:val="auto"/>
          <w:spacing w:val="0"/>
          <w:sz w:val="32"/>
          <w:lang w:val="en-US" w:eastAsia="zh-CN"/>
        </w:rPr>
      </w:pPr>
      <w:r>
        <w:rPr>
          <w:rFonts w:hint="eastAsia" w:ascii="黑体" w:hAnsi="黑体" w:eastAsia="黑体" w:cs="黑体"/>
          <w:color w:val="auto"/>
          <w:spacing w:val="0"/>
          <w:sz w:val="32"/>
          <w:lang w:val="en-US" w:eastAsia="zh-CN"/>
        </w:rPr>
        <w:t>二、主要目标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84" w:firstLineChars="200"/>
        <w:jc w:val="both"/>
        <w:textAlignment w:val="auto"/>
        <w:outlineLvl w:val="9"/>
        <w:rPr>
          <w:rFonts w:hint="eastAsia" w:ascii="仿宋" w:hAnsi="仿宋" w:eastAsia="仿宋_GB2312" w:cs="仿宋"/>
          <w:color w:val="auto"/>
          <w:spacing w:val="0"/>
          <w:sz w:val="32"/>
          <w:szCs w:val="32"/>
          <w:lang w:eastAsia="zh-CN"/>
        </w:rPr>
      </w:pPr>
      <w:r>
        <w:rPr>
          <w:rFonts w:hint="eastAsia" w:ascii="仿宋_GB2312" w:hAnsi="仿宋_GB2312" w:eastAsia="仿宋_GB2312"/>
          <w:color w:val="auto"/>
          <w:spacing w:val="11"/>
          <w:sz w:val="32"/>
        </w:rPr>
        <w:t>2019年，服务业生产总值</w:t>
      </w:r>
      <w:r>
        <w:rPr>
          <w:rFonts w:hint="eastAsia" w:ascii="仿宋_GB2312" w:hAnsi="仿宋_GB2312" w:eastAsia="仿宋_GB2312"/>
          <w:color w:val="auto"/>
          <w:spacing w:val="11"/>
          <w:sz w:val="32"/>
          <w:lang w:val="en-US" w:eastAsia="zh-CN"/>
        </w:rPr>
        <w:t>要</w:t>
      </w:r>
      <w:r>
        <w:rPr>
          <w:rFonts w:hint="eastAsia" w:ascii="仿宋_GB2312" w:hAnsi="仿宋_GB2312" w:eastAsia="仿宋_GB2312"/>
          <w:color w:val="auto"/>
          <w:spacing w:val="11"/>
          <w:sz w:val="32"/>
        </w:rPr>
        <w:t>达到</w:t>
      </w:r>
      <w:r>
        <w:rPr>
          <w:rFonts w:hint="eastAsia" w:ascii="仿宋_GB2312" w:hAnsi="仿宋_GB2312" w:eastAsia="仿宋_GB2312"/>
          <w:color w:val="auto"/>
          <w:spacing w:val="11"/>
          <w:sz w:val="32"/>
          <w:lang w:val="en-US" w:eastAsia="zh-CN"/>
        </w:rPr>
        <w:t>180</w:t>
      </w:r>
      <w:r>
        <w:rPr>
          <w:rFonts w:hint="eastAsia" w:ascii="仿宋_GB2312" w:hAnsi="仿宋_GB2312" w:eastAsia="仿宋_GB2312"/>
          <w:color w:val="auto"/>
          <w:spacing w:val="11"/>
          <w:sz w:val="32"/>
        </w:rPr>
        <w:t>亿元，占地区生产总值比重达到4</w:t>
      </w:r>
      <w:r>
        <w:rPr>
          <w:rFonts w:hint="eastAsia" w:ascii="仿宋_GB2312" w:hAnsi="仿宋_GB2312" w:eastAsia="仿宋_GB2312"/>
          <w:color w:val="auto"/>
          <w:spacing w:val="11"/>
          <w:sz w:val="32"/>
          <w:lang w:val="en-US" w:eastAsia="zh-CN"/>
        </w:rPr>
        <w:t>3.3</w:t>
      </w:r>
      <w:r>
        <w:rPr>
          <w:rFonts w:hint="eastAsia" w:ascii="仿宋_GB2312" w:hAnsi="仿宋_GB2312" w:eastAsia="仿宋_GB2312"/>
          <w:color w:val="auto"/>
          <w:spacing w:val="11"/>
          <w:sz w:val="32"/>
        </w:rPr>
        <w:t>%；以文化旅游、现代物流、金融科技、健康养老等为支撑的现代服务业产业体系</w:t>
      </w:r>
      <w:r>
        <w:rPr>
          <w:rFonts w:hint="eastAsia" w:ascii="仿宋_GB2312" w:hAnsi="仿宋_GB2312" w:eastAsia="仿宋_GB2312"/>
          <w:color w:val="auto"/>
          <w:spacing w:val="11"/>
          <w:sz w:val="32"/>
          <w:lang w:val="en-US" w:eastAsia="zh-CN"/>
        </w:rPr>
        <w:t>初步形成，</w:t>
      </w:r>
      <w:r>
        <w:rPr>
          <w:rFonts w:hint="eastAsia" w:ascii="仿宋_GB2312" w:hAnsi="仿宋_GB2312" w:eastAsia="仿宋_GB2312"/>
          <w:color w:val="auto"/>
          <w:spacing w:val="11"/>
          <w:sz w:val="32"/>
        </w:rPr>
        <w:t>实现“四个显著”</w:t>
      </w:r>
      <w:r>
        <w:rPr>
          <w:rFonts w:hint="eastAsia" w:ascii="仿宋_GB2312" w:hAnsi="仿宋_GB2312" w:eastAsia="仿宋_GB2312"/>
          <w:color w:val="auto"/>
          <w:spacing w:val="11"/>
          <w:sz w:val="32"/>
          <w:lang w:eastAsia="zh-CN"/>
        </w:rPr>
        <w:t>。</w:t>
      </w:r>
    </w:p>
    <w:p>
      <w:pPr>
        <w:keepNext w:val="0"/>
        <w:keepLines w:val="0"/>
        <w:pageBreakBefore w:val="0"/>
        <w:widowControl w:val="0"/>
        <w:kinsoku/>
        <w:wordWrap/>
        <w:overflowPunct/>
        <w:topLinePunct w:val="0"/>
        <w:autoSpaceDE/>
        <w:autoSpaceDN/>
        <w:bidi w:val="0"/>
        <w:adjustRightInd/>
        <w:spacing w:line="600" w:lineRule="exact"/>
        <w:ind w:leftChars="0" w:firstLine="684" w:firstLineChars="200"/>
        <w:textAlignment w:val="auto"/>
        <w:rPr>
          <w:rFonts w:hint="eastAsia" w:ascii="仿宋_GB2312" w:hAnsi="仿宋_GB2312" w:eastAsia="仿宋_GB2312"/>
          <w:color w:val="auto"/>
          <w:spacing w:val="11"/>
          <w:sz w:val="32"/>
        </w:rPr>
      </w:pPr>
      <w:r>
        <w:rPr>
          <w:rFonts w:hint="eastAsia" w:ascii="楷体_GB2312" w:hAnsi="楷体_GB2312" w:eastAsia="楷体_GB2312"/>
          <w:color w:val="auto"/>
          <w:spacing w:val="11"/>
          <w:sz w:val="32"/>
          <w:lang w:eastAsia="zh-CN"/>
        </w:rPr>
        <w:t>（一）</w:t>
      </w:r>
      <w:r>
        <w:rPr>
          <w:rFonts w:hint="eastAsia" w:ascii="楷体_GB2312" w:hAnsi="楷体_GB2312" w:eastAsia="楷体_GB2312"/>
          <w:color w:val="auto"/>
          <w:spacing w:val="11"/>
          <w:sz w:val="32"/>
        </w:rPr>
        <w:t>比重显著提高。</w:t>
      </w:r>
      <w:r>
        <w:rPr>
          <w:rFonts w:hint="eastAsia" w:ascii="仿宋_GB2312" w:hAnsi="仿宋_GB2312" w:eastAsia="仿宋_GB2312"/>
          <w:color w:val="auto"/>
          <w:spacing w:val="11"/>
          <w:sz w:val="32"/>
        </w:rPr>
        <w:t>服务业增加值占全县生产总值的比重达到43</w:t>
      </w:r>
      <w:r>
        <w:rPr>
          <w:rFonts w:hint="eastAsia" w:ascii="仿宋_GB2312" w:hAnsi="仿宋_GB2312" w:eastAsia="仿宋_GB2312"/>
          <w:color w:val="auto"/>
          <w:spacing w:val="11"/>
          <w:sz w:val="32"/>
          <w:lang w:val="en-US" w:eastAsia="zh-CN"/>
        </w:rPr>
        <w:t>.3</w:t>
      </w:r>
      <w:r>
        <w:rPr>
          <w:rFonts w:hint="eastAsia" w:ascii="仿宋_GB2312" w:hAnsi="仿宋_GB2312" w:eastAsia="仿宋_GB2312"/>
          <w:color w:val="auto"/>
          <w:spacing w:val="11"/>
          <w:sz w:val="32"/>
        </w:rPr>
        <w:t>%，服务业从业人员占全社会从业人员的比重达到30%以上，服务业对经济社会发展的贡献持续提升。</w:t>
      </w:r>
    </w:p>
    <w:p>
      <w:pPr>
        <w:keepNext w:val="0"/>
        <w:keepLines w:val="0"/>
        <w:pageBreakBefore w:val="0"/>
        <w:widowControl w:val="0"/>
        <w:kinsoku/>
        <w:wordWrap/>
        <w:overflowPunct/>
        <w:topLinePunct w:val="0"/>
        <w:autoSpaceDE/>
        <w:autoSpaceDN/>
        <w:bidi w:val="0"/>
        <w:adjustRightInd/>
        <w:spacing w:line="600" w:lineRule="exact"/>
        <w:ind w:leftChars="0" w:firstLine="684" w:firstLineChars="200"/>
        <w:textAlignment w:val="auto"/>
        <w:rPr>
          <w:rFonts w:hint="eastAsia" w:ascii="仿宋_GB2312" w:hAnsi="仿宋_GB2312" w:eastAsia="仿宋_GB2312"/>
          <w:color w:val="auto"/>
          <w:spacing w:val="11"/>
          <w:sz w:val="32"/>
        </w:rPr>
      </w:pPr>
      <w:r>
        <w:rPr>
          <w:rFonts w:hint="eastAsia" w:ascii="楷体_GB2312" w:hAnsi="楷体_GB2312" w:eastAsia="楷体_GB2312"/>
          <w:color w:val="auto"/>
          <w:spacing w:val="11"/>
          <w:sz w:val="32"/>
          <w:lang w:eastAsia="zh-CN"/>
        </w:rPr>
        <w:t>（二）</w:t>
      </w:r>
      <w:r>
        <w:rPr>
          <w:rFonts w:hint="eastAsia" w:ascii="楷体_GB2312" w:hAnsi="楷体_GB2312" w:eastAsia="楷体_GB2312"/>
          <w:color w:val="auto"/>
          <w:spacing w:val="11"/>
          <w:sz w:val="32"/>
        </w:rPr>
        <w:t>结构显著优化。</w:t>
      </w:r>
      <w:r>
        <w:rPr>
          <w:rFonts w:hint="eastAsia" w:ascii="仿宋_GB2312" w:hAnsi="仿宋_GB2312" w:eastAsia="仿宋_GB2312"/>
          <w:color w:val="auto"/>
          <w:spacing w:val="11"/>
          <w:sz w:val="32"/>
        </w:rPr>
        <w:t>以文化旅游、现代物流、信息服务、金融科技、健康养老等为支撑的现代服务业产业体系基本形成；高成长性服务业增加值占全县服务业增加值的比重达</w:t>
      </w:r>
      <w:r>
        <w:rPr>
          <w:rFonts w:hint="eastAsia" w:ascii="仿宋_GB2312" w:hAnsi="仿宋_GB2312" w:eastAsia="仿宋_GB2312"/>
          <w:color w:val="auto"/>
          <w:spacing w:val="11"/>
          <w:sz w:val="32"/>
        </w:rPr>
        <w:t>到50</w:t>
      </w:r>
      <w:r>
        <w:rPr>
          <w:rFonts w:hint="eastAsia" w:ascii="仿宋_GB2312" w:hAnsi="仿宋_GB2312" w:eastAsia="仿宋_GB2312"/>
          <w:color w:val="auto"/>
          <w:spacing w:val="11"/>
          <w:sz w:val="32"/>
        </w:rPr>
        <w:t>%以上；传统支柱服务业改造升级成效明显，服务业集聚发展水平和服务功能不断提升。</w:t>
      </w:r>
    </w:p>
    <w:p>
      <w:pPr>
        <w:keepNext w:val="0"/>
        <w:keepLines w:val="0"/>
        <w:pageBreakBefore w:val="0"/>
        <w:widowControl w:val="0"/>
        <w:kinsoku/>
        <w:wordWrap/>
        <w:overflowPunct/>
        <w:topLinePunct w:val="0"/>
        <w:autoSpaceDE/>
        <w:autoSpaceDN/>
        <w:bidi w:val="0"/>
        <w:adjustRightInd/>
        <w:spacing w:line="600" w:lineRule="exact"/>
        <w:ind w:leftChars="0" w:firstLine="684" w:firstLineChars="200"/>
        <w:textAlignment w:val="auto"/>
        <w:rPr>
          <w:rFonts w:hint="eastAsia" w:ascii="仿宋_GB2312" w:hAnsi="仿宋_GB2312" w:eastAsia="仿宋_GB2312"/>
          <w:color w:val="auto"/>
          <w:spacing w:val="11"/>
          <w:sz w:val="32"/>
        </w:rPr>
      </w:pPr>
      <w:r>
        <w:rPr>
          <w:rFonts w:hint="eastAsia" w:ascii="楷体_GB2312" w:hAnsi="楷体_GB2312" w:eastAsia="楷体_GB2312"/>
          <w:color w:val="auto"/>
          <w:spacing w:val="11"/>
          <w:sz w:val="32"/>
          <w:lang w:eastAsia="zh-CN"/>
        </w:rPr>
        <w:t>（三）</w:t>
      </w:r>
      <w:r>
        <w:rPr>
          <w:rFonts w:hint="eastAsia" w:ascii="楷体_GB2312" w:hAnsi="楷体_GB2312" w:eastAsia="楷体_GB2312"/>
          <w:color w:val="auto"/>
          <w:spacing w:val="11"/>
          <w:sz w:val="32"/>
        </w:rPr>
        <w:t>带动能力显著增强。</w:t>
      </w:r>
      <w:r>
        <w:rPr>
          <w:rFonts w:hint="eastAsia" w:ascii="仿宋_GB2312" w:hAnsi="仿宋_GB2312" w:eastAsia="仿宋_GB2312"/>
          <w:color w:val="auto"/>
          <w:spacing w:val="11"/>
          <w:sz w:val="32"/>
        </w:rPr>
        <w:t>形成一批有较强市场竞争力的重点企业和具有较大影响力的服务业品牌，技术、管理和商业模式创新能力日益增强，服务业引领消费，实现特色化、高端化、规模化发展，支撑带动能力显著增强。</w:t>
      </w:r>
    </w:p>
    <w:p>
      <w:pPr>
        <w:keepNext w:val="0"/>
        <w:keepLines w:val="0"/>
        <w:pageBreakBefore w:val="0"/>
        <w:widowControl w:val="0"/>
        <w:kinsoku/>
        <w:wordWrap/>
        <w:overflowPunct/>
        <w:topLinePunct w:val="0"/>
        <w:autoSpaceDE/>
        <w:autoSpaceDN/>
        <w:bidi w:val="0"/>
        <w:adjustRightInd/>
        <w:spacing w:line="600" w:lineRule="exact"/>
        <w:ind w:leftChars="0" w:firstLine="684" w:firstLineChars="200"/>
        <w:textAlignment w:val="auto"/>
        <w:rPr>
          <w:rFonts w:hint="eastAsia" w:ascii="仿宋_GB2312" w:hAnsi="仿宋_GB2312" w:eastAsia="仿宋_GB2312"/>
          <w:color w:val="auto"/>
          <w:spacing w:val="11"/>
          <w:sz w:val="32"/>
        </w:rPr>
      </w:pPr>
      <w:r>
        <w:rPr>
          <w:rFonts w:hint="eastAsia" w:ascii="楷体_GB2312" w:hAnsi="楷体_GB2312" w:eastAsia="楷体_GB2312"/>
          <w:color w:val="auto"/>
          <w:spacing w:val="11"/>
          <w:sz w:val="32"/>
          <w:lang w:eastAsia="zh-CN"/>
        </w:rPr>
        <w:t>（四）</w:t>
      </w:r>
      <w:r>
        <w:rPr>
          <w:rFonts w:hint="eastAsia" w:ascii="楷体_GB2312" w:hAnsi="楷体_GB2312" w:eastAsia="楷体_GB2312"/>
          <w:color w:val="auto"/>
          <w:spacing w:val="11"/>
          <w:sz w:val="32"/>
        </w:rPr>
        <w:t>经济社会效益显著提升。</w:t>
      </w:r>
      <w:r>
        <w:rPr>
          <w:rFonts w:hint="eastAsia" w:ascii="仿宋_GB2312" w:hAnsi="仿宋_GB2312" w:eastAsia="仿宋_GB2312"/>
          <w:color w:val="auto"/>
          <w:spacing w:val="11"/>
          <w:sz w:val="32"/>
        </w:rPr>
        <w:t>县东城新区、老城区和乡镇服务业协调联动发展格局基本形成,培育一批功能特色突出、品牌影响力彰显的服务业特色街区，初步形成1—2个营业收入超百亿的服务业产业，全县经济社会效益显著提升。</w:t>
      </w:r>
    </w:p>
    <w:p>
      <w:pPr>
        <w:keepNext w:val="0"/>
        <w:keepLines w:val="0"/>
        <w:pageBreakBefore w:val="0"/>
        <w:widowControl w:val="0"/>
        <w:numPr>
          <w:ilvl w:val="0"/>
          <w:numId w:val="0"/>
        </w:numPr>
        <w:kinsoku/>
        <w:wordWrap/>
        <w:overflowPunct/>
        <w:topLinePunct w:val="0"/>
        <w:autoSpaceDE/>
        <w:autoSpaceDN/>
        <w:bidi w:val="0"/>
        <w:adjustRightInd/>
        <w:spacing w:line="600" w:lineRule="exact"/>
        <w:ind w:leftChars="0" w:right="0" w:rightChars="0" w:firstLine="640" w:firstLineChars="200"/>
        <w:jc w:val="both"/>
        <w:textAlignment w:val="auto"/>
        <w:outlineLvl w:val="9"/>
        <w:rPr>
          <w:rFonts w:hint="eastAsia" w:ascii="黑体" w:hAnsi="黑体" w:eastAsia="黑体" w:cs="黑体"/>
          <w:color w:val="auto"/>
          <w:spacing w:val="0"/>
          <w:sz w:val="32"/>
          <w:lang w:val="en-US" w:eastAsia="zh-CN"/>
        </w:rPr>
      </w:pPr>
      <w:r>
        <w:rPr>
          <w:rFonts w:hint="eastAsia" w:ascii="黑体" w:hAnsi="黑体" w:eastAsia="黑体" w:cs="黑体"/>
          <w:color w:val="auto"/>
          <w:spacing w:val="0"/>
          <w:sz w:val="32"/>
          <w:lang w:val="en-US" w:eastAsia="zh-CN"/>
        </w:rPr>
        <w:t xml:space="preserve">  三、重点任务</w:t>
      </w:r>
    </w:p>
    <w:p>
      <w:pPr>
        <w:keepNext w:val="0"/>
        <w:keepLines w:val="0"/>
        <w:pageBreakBefore w:val="0"/>
        <w:widowControl w:val="0"/>
        <w:kinsoku/>
        <w:wordWrap/>
        <w:overflowPunct/>
        <w:topLinePunct w:val="0"/>
        <w:autoSpaceDE/>
        <w:autoSpaceDN/>
        <w:bidi w:val="0"/>
        <w:adjustRightInd/>
        <w:spacing w:line="600" w:lineRule="exact"/>
        <w:ind w:leftChars="0" w:firstLine="684" w:firstLineChars="200"/>
        <w:textAlignment w:val="auto"/>
        <w:rPr>
          <w:rFonts w:hint="eastAsia" w:ascii="方正楷体_GBK" w:hAnsi="方正楷体_GBK" w:eastAsia="方正楷体_GBK" w:cs="方正楷体_GBK"/>
          <w:b w:val="0"/>
          <w:bCs/>
          <w:color w:val="auto"/>
          <w:spacing w:val="11"/>
          <w:sz w:val="32"/>
        </w:rPr>
      </w:pPr>
      <w:r>
        <w:rPr>
          <w:rFonts w:hint="eastAsia" w:ascii="楷体_GB2312" w:hAnsi="楷体_GB2312" w:eastAsia="楷体_GB2312" w:cs="楷体_GB2312"/>
          <w:b w:val="0"/>
          <w:bCs/>
          <w:color w:val="auto"/>
          <w:spacing w:val="11"/>
          <w:sz w:val="32"/>
        </w:rPr>
        <w:t>（一）突出发展文化旅游业</w:t>
      </w:r>
    </w:p>
    <w:p>
      <w:pPr>
        <w:keepNext w:val="0"/>
        <w:keepLines w:val="0"/>
        <w:pageBreakBefore w:val="0"/>
        <w:widowControl w:val="0"/>
        <w:kinsoku/>
        <w:wordWrap/>
        <w:overflowPunct/>
        <w:topLinePunct w:val="0"/>
        <w:autoSpaceDE/>
        <w:autoSpaceDN/>
        <w:bidi w:val="0"/>
        <w:adjustRightInd/>
        <w:spacing w:line="600" w:lineRule="exact"/>
        <w:ind w:leftChars="0" w:firstLine="684" w:firstLineChars="200"/>
        <w:textAlignment w:val="auto"/>
        <w:rPr>
          <w:rFonts w:hint="eastAsia" w:ascii="仿宋_GB2312" w:hAnsi="仿宋_GB2312" w:eastAsia="仿宋_GB2312"/>
          <w:color w:val="auto"/>
          <w:spacing w:val="11"/>
          <w:sz w:val="32"/>
        </w:rPr>
      </w:pPr>
      <w:r>
        <w:rPr>
          <w:rFonts w:hint="eastAsia" w:ascii="仿宋_GB2312" w:hAnsi="仿宋_GB2312" w:eastAsia="仿宋_GB2312"/>
          <w:color w:val="auto"/>
          <w:spacing w:val="11"/>
          <w:sz w:val="32"/>
        </w:rPr>
        <w:t>坚持规划引领，紧抓我县文化底蕴和山水资源优势，集中物力、人力、财力，在文化旅游业方面下大力气，打造襄城特色旅游。集中精力将旅游业发展与历史文化、人文宗教、酒店餐饮、休闲观光农业结合起来，开发提升“三山（紫云山、首山、灵武山）、两水（北汝河、颍河）、一寺（乾明寺）、一庙（五岳庙）、一古城”，构建“山水寺庙城游憩圈”“人文生态休闲旅游板块”的发展布局。重点开展以万亩油菜花为主体的“首山旅游文化节”“三月三庙会”等具有襄城特色的民俗节庆活动，</w:t>
      </w:r>
      <w:r>
        <w:rPr>
          <w:rFonts w:hint="eastAsia" w:ascii="仿宋_GB2312" w:hAnsi="仿宋_GB2312" w:eastAsia="仿宋_GB2312"/>
          <w:color w:val="auto"/>
          <w:spacing w:val="11"/>
          <w:sz w:val="32"/>
          <w:lang w:eastAsia="zh-CN"/>
        </w:rPr>
        <w:t>实施</w:t>
      </w:r>
      <w:r>
        <w:rPr>
          <w:rFonts w:hint="eastAsia" w:ascii="仿宋_GB2312" w:hAnsi="仿宋_GB2312" w:eastAsia="仿宋_GB2312"/>
          <w:color w:val="auto"/>
          <w:spacing w:val="11"/>
          <w:sz w:val="32"/>
        </w:rPr>
        <w:t>首山</w:t>
      </w:r>
      <w:r>
        <w:rPr>
          <w:rFonts w:hint="eastAsia" w:ascii="仿宋_GB2312" w:hAnsi="仿宋_GB2312" w:eastAsia="仿宋_GB2312"/>
          <w:color w:val="auto"/>
          <w:spacing w:val="11"/>
          <w:sz w:val="32"/>
          <w:lang w:val="en-US" w:eastAsia="zh-CN"/>
        </w:rPr>
        <w:t>3A级景区创建工程</w:t>
      </w:r>
      <w:r>
        <w:rPr>
          <w:rFonts w:hint="eastAsia" w:ascii="仿宋_GB2312" w:hAnsi="仿宋_GB2312" w:eastAsia="仿宋_GB2312"/>
          <w:color w:val="auto"/>
          <w:spacing w:val="11"/>
          <w:sz w:val="32"/>
        </w:rPr>
        <w:t>，打造襄城特色文化旅游品牌；依托明清古街、古城墙、文庙的古朴典雅建筑，匠心传统工艺，以“讲老城故事，现古韵风华”为引导，打造千年古县文化旅游目的地。</w:t>
      </w:r>
      <w:r>
        <w:rPr>
          <w:rFonts w:hint="eastAsia" w:ascii="仿宋_GB2312" w:hAnsi="仿宋_GB2312" w:eastAsia="仿宋_GB2312"/>
          <w:color w:val="auto"/>
          <w:spacing w:val="11"/>
          <w:sz w:val="32"/>
          <w:lang w:eastAsia="zh-CN"/>
        </w:rPr>
        <w:t>擦亮</w:t>
      </w:r>
      <w:r>
        <w:rPr>
          <w:rFonts w:hint="eastAsia" w:ascii="仿宋_GB2312" w:hAnsi="仿宋_GB2312" w:eastAsia="仿宋_GB2312"/>
          <w:color w:val="auto"/>
          <w:spacing w:val="11"/>
          <w:sz w:val="32"/>
        </w:rPr>
        <w:t>“千年古县、人文之都、灵山秀水、诗意襄城”品牌。</w:t>
      </w:r>
    </w:p>
    <w:p>
      <w:pPr>
        <w:keepNext w:val="0"/>
        <w:keepLines w:val="0"/>
        <w:pageBreakBefore w:val="0"/>
        <w:widowControl w:val="0"/>
        <w:kinsoku/>
        <w:wordWrap/>
        <w:overflowPunct/>
        <w:topLinePunct w:val="0"/>
        <w:autoSpaceDE/>
        <w:autoSpaceDN/>
        <w:bidi w:val="0"/>
        <w:adjustRightInd/>
        <w:spacing w:line="600" w:lineRule="exact"/>
        <w:ind w:leftChars="0" w:firstLine="687" w:firstLineChars="200"/>
        <w:textAlignment w:val="auto"/>
        <w:rPr>
          <w:rFonts w:hint="eastAsia" w:ascii="仿宋" w:hAnsi="仿宋" w:eastAsia="仿宋" w:cs="仿宋"/>
          <w:color w:val="auto"/>
          <w:spacing w:val="0"/>
          <w:sz w:val="32"/>
          <w:szCs w:val="32"/>
          <w:lang w:eastAsia="zh-CN"/>
        </w:rPr>
      </w:pPr>
      <w:r>
        <w:rPr>
          <w:rFonts w:hint="eastAsia" w:ascii="仿宋_GB2312" w:hAnsi="仿宋_GB2312" w:eastAsia="仿宋_GB2312"/>
          <w:b/>
          <w:color w:val="auto"/>
          <w:spacing w:val="11"/>
          <w:sz w:val="32"/>
        </w:rPr>
        <w:t>1.</w:t>
      </w:r>
      <w:r>
        <w:rPr>
          <w:rFonts w:hint="eastAsia" w:ascii="仿宋_GB2312" w:hAnsi="仿宋_GB2312" w:eastAsia="仿宋_GB2312"/>
          <w:b/>
          <w:color w:val="auto"/>
          <w:spacing w:val="11"/>
          <w:sz w:val="32"/>
          <w:lang w:eastAsia="zh-CN"/>
        </w:rPr>
        <w:t>打造</w:t>
      </w:r>
      <w:r>
        <w:rPr>
          <w:rFonts w:hint="eastAsia" w:ascii="仿宋_GB2312" w:hAnsi="仿宋_GB2312" w:eastAsia="仿宋_GB2312"/>
          <w:b/>
          <w:color w:val="auto"/>
          <w:spacing w:val="11"/>
          <w:sz w:val="32"/>
        </w:rPr>
        <w:t>精品景点。</w:t>
      </w:r>
      <w:r>
        <w:rPr>
          <w:rFonts w:hint="eastAsia" w:ascii="仿宋_GB2312" w:hAnsi="仿宋_GB2312" w:eastAsia="仿宋_GB2312"/>
          <w:color w:val="auto"/>
          <w:spacing w:val="11"/>
          <w:sz w:val="32"/>
        </w:rPr>
        <w:t>坚持旅游资源保护与开发并重，高标准整合策划旅游资源和旅游线路，推动旅游资源“整体策划、连片开发”，把散落在襄城大地的旅游景点串起来，初步形成“一日游、两日游”线路。依托“三山”（首山、紫云山、灵武山）旅游资源，重点推进首山</w:t>
      </w:r>
      <w:r>
        <w:rPr>
          <w:rFonts w:hint="eastAsia" w:ascii="仿宋_GB2312" w:hAnsi="仿宋_GB2312" w:eastAsia="仿宋_GB2312"/>
          <w:color w:val="auto"/>
          <w:spacing w:val="11"/>
          <w:sz w:val="32"/>
          <w:lang w:eastAsia="zh-CN"/>
        </w:rPr>
        <w:t>、紫云山</w:t>
      </w:r>
      <w:r>
        <w:rPr>
          <w:rFonts w:hint="eastAsia" w:ascii="仿宋_GB2312" w:hAnsi="仿宋_GB2312" w:eastAsia="仿宋_GB2312"/>
          <w:color w:val="auto"/>
          <w:spacing w:val="11"/>
          <w:sz w:val="32"/>
          <w:lang w:val="en-US" w:eastAsia="zh-CN"/>
        </w:rPr>
        <w:t>设施完善和景区</w:t>
      </w:r>
      <w:r>
        <w:rPr>
          <w:rFonts w:hint="eastAsia" w:ascii="仿宋_GB2312" w:hAnsi="仿宋_GB2312" w:eastAsia="仿宋_GB2312"/>
          <w:color w:val="auto"/>
          <w:spacing w:val="11"/>
          <w:sz w:val="32"/>
        </w:rPr>
        <w:t>创建工作，着力将“三山”打造成集彩虹花田、运动娱乐、健身养生等功能为一体的休闲观光游览区；依托汝河得天独厚的自然条件和生态环境，做好水文章，以实施国家湿地公园项目为抓手，着力打造揽山入怀、</w:t>
      </w:r>
      <w:r>
        <w:rPr>
          <w:rFonts w:hint="eastAsia" w:ascii="仿宋_GB2312" w:hAnsi="仿宋_GB2312" w:eastAsia="仿宋_GB2312"/>
          <w:color w:val="auto"/>
          <w:spacing w:val="11"/>
          <w:sz w:val="32"/>
          <w:lang w:eastAsia="zh-CN"/>
        </w:rPr>
        <w:t>纳</w:t>
      </w:r>
      <w:r>
        <w:rPr>
          <w:rFonts w:hint="eastAsia" w:ascii="仿宋_GB2312" w:hAnsi="仿宋_GB2312" w:eastAsia="仿宋_GB2312"/>
          <w:color w:val="auto"/>
          <w:spacing w:val="11"/>
          <w:sz w:val="32"/>
        </w:rPr>
        <w:t>水润城的汝河景观；依托乾明寺、五岳庙丰厚的宗教文化资源，加大保护、修缮、宣传力度，将“中州第一禅林”“中州神仙皇京城”融入宗教旅游中，着力打造宗教文化旅游新胜地；依托明清古街、古城墙、文庙的古朴典雅建筑，匠心传统工艺，以“讲老城故事，现古韵风华”为引导，打造千年古县文化旅游目的地；突出发展乡村休闲旅游业，以沟刘村民俗文化、北姚村、雷洞村红石文化、乔柿园豆腐村为重点，全面挖掘农业休闲、观光、采摘等功能，推广田园综合体项目建设，推进农业与休闲度假、生活体验、旅游观光、健康养老等产业深度融合。</w:t>
      </w:r>
      <w:r>
        <w:rPr>
          <w:rFonts w:hint="eastAsia" w:ascii="仿宋" w:hAnsi="仿宋" w:eastAsia="仿宋" w:cs="仿宋"/>
          <w:color w:val="auto"/>
          <w:spacing w:val="0"/>
          <w:sz w:val="32"/>
          <w:szCs w:val="32"/>
          <w:lang w:val="en-US" w:eastAsia="zh-CN"/>
        </w:rPr>
        <w:t>建设“美丽乡村游”示范基地旅游，把湛北乡北姚村、侯楼村、七里店村，紫云镇樱桃沟、马涧沟村连成一体，</w:t>
      </w:r>
      <w:r>
        <w:rPr>
          <w:rFonts w:hint="eastAsia" w:ascii="仿宋" w:hAnsi="仿宋" w:eastAsia="仿宋" w:cs="仿宋"/>
          <w:color w:val="auto"/>
          <w:spacing w:val="0"/>
          <w:sz w:val="32"/>
          <w:szCs w:val="32"/>
          <w:lang w:eastAsia="zh-CN"/>
        </w:rPr>
        <w:t>建成集休闲、观光、采摘、餐饮为一体的特色生态园；</w:t>
      </w:r>
      <w:r>
        <w:rPr>
          <w:rFonts w:hint="eastAsia" w:ascii="仿宋" w:hAnsi="仿宋" w:eastAsia="仿宋" w:cs="仿宋"/>
          <w:color w:val="auto"/>
          <w:spacing w:val="0"/>
          <w:sz w:val="32"/>
          <w:szCs w:val="32"/>
          <w:lang w:val="en-US" w:eastAsia="zh-CN"/>
        </w:rPr>
        <w:t>实施首山3A级景区创建工作</w:t>
      </w:r>
      <w:r>
        <w:rPr>
          <w:rFonts w:hint="eastAsia" w:ascii="仿宋" w:hAnsi="仿宋" w:eastAsia="仿宋" w:cs="仿宋"/>
          <w:color w:val="auto"/>
          <w:spacing w:val="0"/>
          <w:sz w:val="32"/>
          <w:szCs w:val="32"/>
          <w:lang w:eastAsia="zh-CN"/>
        </w:rPr>
        <w:t>，</w:t>
      </w:r>
      <w:r>
        <w:rPr>
          <w:rFonts w:hint="eastAsia" w:ascii="仿宋" w:hAnsi="仿宋" w:eastAsia="仿宋" w:cs="仿宋"/>
          <w:color w:val="auto"/>
          <w:spacing w:val="0"/>
          <w:sz w:val="32"/>
          <w:szCs w:val="32"/>
          <w:lang w:val="en-US" w:eastAsia="zh-CN"/>
        </w:rPr>
        <w:t>建设首山百鸟园项目，把孔雀、鸳鸯等100多种珍禽及鸟类引上首山，打造一个集珍禽鸟类孵化、养殖、旅游观光为一体的大型生态基地。</w:t>
      </w:r>
    </w:p>
    <w:p>
      <w:pPr>
        <w:keepNext w:val="0"/>
        <w:keepLines w:val="0"/>
        <w:pageBreakBefore w:val="0"/>
        <w:widowControl w:val="0"/>
        <w:kinsoku/>
        <w:wordWrap/>
        <w:overflowPunct/>
        <w:topLinePunct w:val="0"/>
        <w:autoSpaceDE/>
        <w:autoSpaceDN/>
        <w:bidi w:val="0"/>
        <w:adjustRightInd/>
        <w:spacing w:line="600" w:lineRule="exact"/>
        <w:ind w:leftChars="0" w:firstLine="687" w:firstLineChars="200"/>
        <w:textAlignment w:val="auto"/>
        <w:rPr>
          <w:rFonts w:hint="eastAsia" w:ascii="仿宋" w:hAnsi="仿宋" w:eastAsia="仿宋" w:cs="仿宋"/>
          <w:color w:val="auto"/>
          <w:spacing w:val="0"/>
          <w:sz w:val="32"/>
          <w:szCs w:val="32"/>
          <w:lang w:eastAsia="zh-CN"/>
        </w:rPr>
      </w:pPr>
      <w:r>
        <w:rPr>
          <w:rFonts w:hint="eastAsia" w:ascii="仿宋_GB2312" w:hAnsi="仿宋_GB2312" w:eastAsia="仿宋_GB2312"/>
          <w:b/>
          <w:color w:val="auto"/>
          <w:spacing w:val="11"/>
          <w:sz w:val="32"/>
        </w:rPr>
        <w:t>2.</w:t>
      </w:r>
      <w:r>
        <w:rPr>
          <w:rFonts w:hint="eastAsia" w:ascii="仿宋_GB2312" w:hAnsi="仿宋_GB2312" w:eastAsia="仿宋_GB2312"/>
          <w:b/>
          <w:color w:val="auto"/>
          <w:spacing w:val="11"/>
          <w:sz w:val="32"/>
          <w:lang w:eastAsia="zh-CN"/>
        </w:rPr>
        <w:t>开发</w:t>
      </w:r>
      <w:r>
        <w:rPr>
          <w:rFonts w:hint="eastAsia" w:ascii="仿宋_GB2312" w:hAnsi="仿宋_GB2312" w:eastAsia="仿宋_GB2312"/>
          <w:b/>
          <w:color w:val="auto"/>
          <w:spacing w:val="11"/>
          <w:sz w:val="32"/>
        </w:rPr>
        <w:t>旅游产品。</w:t>
      </w:r>
      <w:r>
        <w:rPr>
          <w:rFonts w:hint="eastAsia" w:ascii="仿宋_GB2312" w:hAnsi="仿宋_GB2312" w:eastAsia="仿宋_GB2312"/>
          <w:color w:val="auto"/>
          <w:spacing w:val="11"/>
          <w:sz w:val="32"/>
        </w:rPr>
        <w:t>围绕襄城特色，在“吃、住、行、游、购、娱”方面下功夫，着力做好王洛猪蹄、襄县焖面、红薯粉条、首山菜籽油、首山柿饼等名牌旅游产品的</w:t>
      </w:r>
      <w:r>
        <w:rPr>
          <w:rFonts w:hint="eastAsia" w:ascii="仿宋_GB2312" w:hAnsi="仿宋_GB2312" w:eastAsia="仿宋_GB2312"/>
          <w:color w:val="auto"/>
          <w:spacing w:val="11"/>
          <w:sz w:val="32"/>
          <w:lang w:eastAsia="zh-CN"/>
        </w:rPr>
        <w:t>开发</w:t>
      </w:r>
      <w:r>
        <w:rPr>
          <w:rFonts w:hint="eastAsia" w:ascii="仿宋_GB2312" w:hAnsi="仿宋_GB2312" w:eastAsia="仿宋_GB2312"/>
          <w:color w:val="auto"/>
          <w:spacing w:val="11"/>
          <w:sz w:val="32"/>
        </w:rPr>
        <w:t>包装，加大“景春堂”金菊茶、灵芝茶的对外宣传推广，在紫云山、首山、灵武山配套建设休闲、住宿等配套设施，在明清古街推出非遗文化体验产品，精心策划襄城越调戏曲表演、“心意六合拳”“太极拳”表演、首山风筝节等民俗旅游，</w:t>
      </w:r>
      <w:r>
        <w:rPr>
          <w:rFonts w:hint="eastAsia" w:ascii="仿宋_GB2312" w:hAnsi="仿宋_GB2312" w:eastAsia="仿宋_GB2312"/>
          <w:color w:val="auto"/>
          <w:spacing w:val="11"/>
          <w:sz w:val="32"/>
          <w:lang w:val="en-US" w:eastAsia="zh-CN"/>
        </w:rPr>
        <w:t>完成民宿升级改造和</w:t>
      </w:r>
      <w:r>
        <w:rPr>
          <w:rFonts w:hint="eastAsia" w:ascii="仿宋_GB2312" w:hAnsi="仿宋_GB2312" w:eastAsia="仿宋_GB2312"/>
          <w:color w:val="auto"/>
          <w:spacing w:val="11"/>
          <w:sz w:val="32"/>
        </w:rPr>
        <w:t>评</w:t>
      </w:r>
      <w:r>
        <w:rPr>
          <w:rFonts w:hint="eastAsia" w:ascii="仿宋_GB2312" w:hAnsi="仿宋_GB2312" w:eastAsia="仿宋_GB2312"/>
          <w:color w:val="auto"/>
          <w:spacing w:val="11"/>
          <w:sz w:val="32"/>
          <w:lang w:val="en-US" w:eastAsia="zh-CN"/>
        </w:rPr>
        <w:t>星提档，</w:t>
      </w:r>
      <w:r>
        <w:rPr>
          <w:rFonts w:hint="eastAsia" w:ascii="仿宋_GB2312" w:hAnsi="仿宋_GB2312" w:eastAsia="仿宋_GB2312"/>
          <w:color w:val="auto"/>
          <w:spacing w:val="11"/>
          <w:sz w:val="32"/>
        </w:rPr>
        <w:t>打造民俗体验基地。</w:t>
      </w:r>
      <w:r>
        <w:rPr>
          <w:rFonts w:hint="eastAsia" w:ascii="仿宋" w:hAnsi="仿宋" w:eastAsia="仿宋" w:cs="仿宋"/>
          <w:color w:val="auto"/>
          <w:spacing w:val="0"/>
          <w:sz w:val="32"/>
          <w:szCs w:val="32"/>
          <w:lang w:eastAsia="zh-CN"/>
        </w:rPr>
        <w:t>加快建设仙翁山中医药生态文化旅游景区建设，开发中药材旅游产品，突出中医药生态旅游特色。</w:t>
      </w:r>
    </w:p>
    <w:p>
      <w:pPr>
        <w:keepNext w:val="0"/>
        <w:keepLines w:val="0"/>
        <w:pageBreakBefore w:val="0"/>
        <w:widowControl w:val="0"/>
        <w:kinsoku/>
        <w:wordWrap/>
        <w:overflowPunct/>
        <w:topLinePunct w:val="0"/>
        <w:autoSpaceDE/>
        <w:autoSpaceDN/>
        <w:bidi w:val="0"/>
        <w:adjustRightInd/>
        <w:spacing w:line="600" w:lineRule="exact"/>
        <w:ind w:leftChars="0" w:firstLine="687" w:firstLineChars="200"/>
        <w:textAlignment w:val="auto"/>
        <w:rPr>
          <w:rFonts w:hint="eastAsia" w:ascii="仿宋_GB2312" w:hAnsi="仿宋_GB2312" w:eastAsia="仿宋_GB2312"/>
          <w:color w:val="auto"/>
          <w:spacing w:val="11"/>
          <w:sz w:val="32"/>
        </w:rPr>
      </w:pPr>
      <w:r>
        <w:rPr>
          <w:rFonts w:hint="eastAsia" w:ascii="仿宋_GB2312" w:hAnsi="仿宋_GB2312" w:eastAsia="仿宋_GB2312"/>
          <w:b/>
          <w:color w:val="auto"/>
          <w:spacing w:val="11"/>
          <w:sz w:val="32"/>
        </w:rPr>
        <w:t>3.</w:t>
      </w:r>
      <w:r>
        <w:rPr>
          <w:rFonts w:hint="eastAsia" w:ascii="仿宋_GB2312" w:hAnsi="仿宋_GB2312" w:eastAsia="仿宋_GB2312"/>
          <w:b/>
          <w:color w:val="auto"/>
          <w:spacing w:val="11"/>
          <w:sz w:val="32"/>
          <w:lang w:eastAsia="zh-CN"/>
        </w:rPr>
        <w:t>创建</w:t>
      </w:r>
      <w:r>
        <w:rPr>
          <w:rFonts w:hint="eastAsia" w:ascii="仿宋_GB2312" w:hAnsi="仿宋_GB2312" w:eastAsia="仿宋_GB2312"/>
          <w:b/>
          <w:color w:val="auto"/>
          <w:spacing w:val="11"/>
          <w:sz w:val="32"/>
        </w:rPr>
        <w:t>旅游品牌。</w:t>
      </w:r>
      <w:r>
        <w:rPr>
          <w:rFonts w:hint="eastAsia" w:ascii="仿宋_GB2312" w:hAnsi="仿宋_GB2312" w:eastAsia="仿宋_GB2312"/>
          <w:color w:val="auto"/>
          <w:spacing w:val="11"/>
          <w:sz w:val="32"/>
        </w:rPr>
        <w:t>深度挖掘旅游文化，依托“黄帝采首山铜，铸鼎于荆山下”的厚重历史，围绕李敏、辛自修、姚继可、欧阳修、耿谆等历史文化名人，古城墙、瓮城、文庙、乾明寺等文物古迹遗存，进一步发掘提升“千年古县、襄半朝、紫云书院、襄孝廉”等丰厚的历史文化资源。</w:t>
      </w:r>
      <w:r>
        <w:rPr>
          <w:rFonts w:hint="eastAsia" w:ascii="仿宋_GB2312" w:hAnsi="仿宋_GB2312" w:eastAsia="仿宋_GB2312"/>
          <w:color w:val="auto"/>
          <w:spacing w:val="11"/>
          <w:sz w:val="32"/>
          <w:lang w:eastAsia="zh-CN"/>
        </w:rPr>
        <w:t>高标准举办第二届</w:t>
      </w:r>
      <w:r>
        <w:rPr>
          <w:rFonts w:hint="eastAsia" w:ascii="仿宋_GB2312" w:hAnsi="仿宋_GB2312" w:eastAsia="仿宋_GB2312"/>
          <w:color w:val="auto"/>
          <w:spacing w:val="11"/>
          <w:sz w:val="32"/>
        </w:rPr>
        <w:t>首山</w:t>
      </w:r>
      <w:r>
        <w:rPr>
          <w:rFonts w:hint="eastAsia" w:ascii="仿宋_GB2312" w:hAnsi="仿宋_GB2312" w:eastAsia="仿宋_GB2312"/>
          <w:color w:val="auto"/>
          <w:spacing w:val="11"/>
          <w:sz w:val="32"/>
          <w:lang w:eastAsia="zh-CN"/>
        </w:rPr>
        <w:t>油菜花旅游</w:t>
      </w:r>
      <w:r>
        <w:rPr>
          <w:rFonts w:hint="eastAsia" w:ascii="仿宋_GB2312" w:hAnsi="仿宋_GB2312" w:eastAsia="仿宋_GB2312"/>
          <w:color w:val="auto"/>
          <w:spacing w:val="11"/>
          <w:sz w:val="32"/>
        </w:rPr>
        <w:t>文化节活动，制定宣传方案，</w:t>
      </w:r>
      <w:r>
        <w:rPr>
          <w:rFonts w:hint="eastAsia" w:ascii="仿宋_GB2312" w:hAnsi="仿宋_GB2312" w:eastAsia="仿宋_GB2312"/>
          <w:color w:val="auto"/>
          <w:spacing w:val="11"/>
          <w:sz w:val="32"/>
          <w:lang w:eastAsia="zh-CN"/>
        </w:rPr>
        <w:t>开展</w:t>
      </w:r>
      <w:r>
        <w:rPr>
          <w:rFonts w:hint="eastAsia" w:ascii="仿宋_GB2312" w:hAnsi="仿宋_GB2312" w:eastAsia="仿宋_GB2312"/>
          <w:color w:val="auto"/>
          <w:spacing w:val="11"/>
          <w:sz w:val="32"/>
        </w:rPr>
        <w:t>“首山风筝节”“三月三庙会”</w:t>
      </w:r>
      <w:r>
        <w:rPr>
          <w:rFonts w:hint="eastAsia" w:ascii="仿宋_GB2312" w:hAnsi="仿宋_GB2312" w:eastAsia="仿宋_GB2312"/>
          <w:color w:val="auto"/>
          <w:spacing w:val="11"/>
          <w:sz w:val="32"/>
          <w:lang w:eastAsia="zh-CN"/>
        </w:rPr>
        <w:t>“海棠节”</w:t>
      </w:r>
      <w:r>
        <w:rPr>
          <w:rFonts w:hint="eastAsia" w:ascii="仿宋_GB2312" w:hAnsi="仿宋_GB2312" w:eastAsia="仿宋_GB2312"/>
          <w:color w:val="auto"/>
          <w:spacing w:val="11"/>
          <w:sz w:val="32"/>
        </w:rPr>
        <w:t>等民俗节庆活动，打造襄城特色文化旅游品牌。</w:t>
      </w:r>
    </w:p>
    <w:p>
      <w:pPr>
        <w:keepNext w:val="0"/>
        <w:keepLines w:val="0"/>
        <w:pageBreakBefore w:val="0"/>
        <w:widowControl w:val="0"/>
        <w:kinsoku/>
        <w:wordWrap/>
        <w:overflowPunct/>
        <w:topLinePunct w:val="0"/>
        <w:autoSpaceDE/>
        <w:autoSpaceDN/>
        <w:bidi w:val="0"/>
        <w:adjustRightInd/>
        <w:spacing w:line="600" w:lineRule="exact"/>
        <w:ind w:leftChars="0" w:firstLine="687" w:firstLineChars="200"/>
        <w:textAlignment w:val="auto"/>
        <w:rPr>
          <w:rFonts w:hint="eastAsia" w:ascii="仿宋_GB2312" w:hAnsi="仿宋_GB2312" w:eastAsia="仿宋_GB2312"/>
          <w:color w:val="auto"/>
          <w:spacing w:val="11"/>
          <w:sz w:val="32"/>
        </w:rPr>
      </w:pPr>
      <w:r>
        <w:rPr>
          <w:rFonts w:hint="eastAsia" w:ascii="仿宋_GB2312" w:hAnsi="仿宋_GB2312" w:eastAsia="仿宋_GB2312"/>
          <w:b/>
          <w:color w:val="auto"/>
          <w:spacing w:val="11"/>
          <w:sz w:val="32"/>
        </w:rPr>
        <w:t>4.完善配套服务。</w:t>
      </w:r>
      <w:r>
        <w:rPr>
          <w:rFonts w:hint="eastAsia" w:ascii="仿宋_GB2312" w:hAnsi="仿宋_GB2312" w:eastAsia="仿宋_GB2312"/>
          <w:color w:val="auto"/>
          <w:spacing w:val="11"/>
          <w:sz w:val="32"/>
          <w:lang w:val="en-US" w:eastAsia="zh-CN"/>
        </w:rPr>
        <w:t>发挥</w:t>
      </w:r>
      <w:r>
        <w:rPr>
          <w:rFonts w:hint="eastAsia" w:ascii="仿宋_GB2312" w:hAnsi="仿宋_GB2312" w:eastAsia="仿宋_GB2312" w:cs="仿宋_GB2312"/>
          <w:color w:val="auto"/>
          <w:spacing w:val="11"/>
          <w:sz w:val="32"/>
          <w:u w:val="none"/>
        </w:rPr>
        <w:t>县旅游</w:t>
      </w:r>
      <w:r>
        <w:rPr>
          <w:rFonts w:hint="eastAsia" w:ascii="仿宋_GB2312" w:hAnsi="仿宋_GB2312" w:eastAsia="仿宋_GB2312" w:cs="仿宋_GB2312"/>
          <w:color w:val="auto"/>
          <w:spacing w:val="11"/>
          <w:sz w:val="32"/>
          <w:u w:val="none"/>
          <w:lang w:eastAsia="zh-CN"/>
        </w:rPr>
        <w:t>管理部门</w:t>
      </w:r>
      <w:r>
        <w:rPr>
          <w:rFonts w:hint="eastAsia" w:ascii="仿宋_GB2312" w:hAnsi="仿宋_GB2312" w:eastAsia="仿宋_GB2312"/>
          <w:color w:val="auto"/>
          <w:spacing w:val="11"/>
          <w:sz w:val="32"/>
          <w:lang w:eastAsia="zh-CN"/>
        </w:rPr>
        <w:t>的</w:t>
      </w:r>
      <w:r>
        <w:rPr>
          <w:rFonts w:hint="eastAsia" w:ascii="仿宋_GB2312" w:hAnsi="仿宋_GB2312" w:eastAsia="仿宋_GB2312"/>
          <w:color w:val="auto"/>
          <w:spacing w:val="11"/>
          <w:sz w:val="32"/>
          <w:lang w:val="en-US" w:eastAsia="zh-CN"/>
        </w:rPr>
        <w:t>工作职能</w:t>
      </w:r>
      <w:r>
        <w:rPr>
          <w:rFonts w:hint="eastAsia" w:ascii="仿宋_GB2312" w:hAnsi="仿宋_GB2312" w:eastAsia="仿宋_GB2312"/>
          <w:color w:val="auto"/>
          <w:spacing w:val="11"/>
          <w:sz w:val="32"/>
        </w:rPr>
        <w:t>，统筹规划县域各项旅游资源，高标准建设襄城旅游圈，形成襄城大旅游格局，全面推进</w:t>
      </w:r>
      <w:r>
        <w:rPr>
          <w:rFonts w:hint="eastAsia" w:ascii="仿宋_GB2312" w:hAnsi="仿宋_GB2312" w:eastAsia="仿宋_GB2312"/>
          <w:color w:val="auto"/>
          <w:spacing w:val="11"/>
          <w:sz w:val="32"/>
          <w:lang w:eastAsia="zh-CN"/>
        </w:rPr>
        <w:t>旅游产业</w:t>
      </w:r>
      <w:r>
        <w:rPr>
          <w:rFonts w:hint="eastAsia" w:ascii="仿宋_GB2312" w:hAnsi="仿宋_GB2312" w:eastAsia="仿宋_GB2312"/>
          <w:color w:val="auto"/>
          <w:spacing w:val="11"/>
          <w:sz w:val="32"/>
        </w:rPr>
        <w:t>提升发展。完善旅游交通衔接服务和系统建设，不断加强景区旅游基础设施建设，提升改造</w:t>
      </w:r>
      <w:r>
        <w:rPr>
          <w:rFonts w:hint="eastAsia" w:ascii="仿宋_GB2312" w:hAnsi="仿宋_GB2312" w:eastAsia="仿宋_GB2312"/>
          <w:color w:val="auto"/>
          <w:spacing w:val="11"/>
          <w:sz w:val="32"/>
          <w:lang w:eastAsia="zh-CN"/>
        </w:rPr>
        <w:t>首山、</w:t>
      </w:r>
      <w:r>
        <w:rPr>
          <w:rFonts w:hint="eastAsia" w:ascii="仿宋_GB2312" w:hAnsi="仿宋_GB2312" w:eastAsia="仿宋_GB2312"/>
          <w:color w:val="auto"/>
          <w:spacing w:val="11"/>
          <w:sz w:val="32"/>
        </w:rPr>
        <w:t>紫云山景区、柏宁岗景区（点）停车场、标志标牌、游客服务中心、旅游安全保障等公共服务设施，引导景区高标准建设、高水平管理、高效益运营。推进全县旅游公共信息服务智能化，实现酒店、景区免费无线互联网的全覆盖。</w:t>
      </w:r>
    </w:p>
    <w:p>
      <w:pPr>
        <w:keepNext w:val="0"/>
        <w:keepLines w:val="0"/>
        <w:pageBreakBefore w:val="0"/>
        <w:widowControl w:val="0"/>
        <w:kinsoku/>
        <w:wordWrap/>
        <w:overflowPunct/>
        <w:topLinePunct w:val="0"/>
        <w:autoSpaceDE/>
        <w:autoSpaceDN/>
        <w:bidi w:val="0"/>
        <w:adjustRightInd/>
        <w:spacing w:line="600" w:lineRule="exact"/>
        <w:ind w:leftChars="0" w:firstLine="684" w:firstLineChars="200"/>
        <w:textAlignment w:val="auto"/>
        <w:rPr>
          <w:rFonts w:hint="eastAsia" w:ascii="仿宋_GB2312" w:hAnsi="仿宋_GB2312" w:eastAsia="仿宋_GB2312"/>
          <w:color w:val="auto"/>
          <w:spacing w:val="11"/>
          <w:sz w:val="32"/>
        </w:rPr>
      </w:pPr>
      <w:r>
        <w:rPr>
          <w:rFonts w:hint="eastAsia" w:ascii="仿宋" w:hAnsi="仿宋" w:eastAsia="仿宋" w:cs="仿宋"/>
          <w:color w:val="auto"/>
          <w:spacing w:val="11"/>
          <w:sz w:val="32"/>
        </w:rPr>
        <w:t>牵头单位：县</w:t>
      </w:r>
      <w:r>
        <w:rPr>
          <w:rFonts w:hint="eastAsia" w:ascii="仿宋" w:hAnsi="仿宋" w:eastAsia="仿宋" w:cs="仿宋"/>
          <w:color w:val="auto"/>
          <w:spacing w:val="11"/>
          <w:sz w:val="32"/>
          <w:lang w:eastAsia="zh-CN"/>
        </w:rPr>
        <w:t>文化广电和</w:t>
      </w:r>
      <w:r>
        <w:rPr>
          <w:rFonts w:hint="eastAsia" w:ascii="仿宋" w:hAnsi="仿宋" w:eastAsia="仿宋" w:cs="仿宋"/>
          <w:color w:val="auto"/>
          <w:spacing w:val="11"/>
          <w:sz w:val="32"/>
        </w:rPr>
        <w:t>旅游局；责任单位：县</w:t>
      </w:r>
      <w:r>
        <w:rPr>
          <w:rFonts w:hint="eastAsia" w:ascii="仿宋" w:hAnsi="仿宋" w:eastAsia="仿宋" w:cs="仿宋"/>
          <w:color w:val="auto"/>
          <w:spacing w:val="11"/>
          <w:sz w:val="32"/>
          <w:lang w:eastAsia="zh-CN"/>
        </w:rPr>
        <w:t>自然资源局</w:t>
      </w:r>
      <w:r>
        <w:rPr>
          <w:rFonts w:hint="eastAsia" w:ascii="仿宋" w:hAnsi="仿宋" w:eastAsia="仿宋" w:cs="仿宋"/>
          <w:color w:val="auto"/>
          <w:spacing w:val="11"/>
          <w:sz w:val="32"/>
        </w:rPr>
        <w:t>、北汝河湿地</w:t>
      </w:r>
      <w:r>
        <w:rPr>
          <w:rFonts w:hint="eastAsia" w:ascii="仿宋" w:hAnsi="仿宋" w:eastAsia="仿宋" w:cs="仿宋"/>
          <w:color w:val="auto"/>
          <w:spacing w:val="11"/>
          <w:sz w:val="32"/>
          <w:lang w:eastAsia="zh-CN"/>
        </w:rPr>
        <w:t>公园</w:t>
      </w:r>
      <w:r>
        <w:rPr>
          <w:rFonts w:hint="eastAsia" w:ascii="仿宋" w:hAnsi="仿宋" w:eastAsia="仿宋" w:cs="仿宋"/>
          <w:color w:val="auto"/>
          <w:spacing w:val="11"/>
          <w:sz w:val="32"/>
        </w:rPr>
        <w:t>管理</w:t>
      </w:r>
      <w:r>
        <w:rPr>
          <w:rFonts w:hint="eastAsia" w:ascii="仿宋" w:hAnsi="仿宋" w:eastAsia="仿宋" w:cs="仿宋"/>
          <w:color w:val="auto"/>
          <w:spacing w:val="11"/>
          <w:sz w:val="32"/>
          <w:lang w:eastAsia="zh-CN"/>
        </w:rPr>
        <w:t>中心</w:t>
      </w:r>
      <w:r>
        <w:rPr>
          <w:rFonts w:hint="eastAsia" w:ascii="仿宋" w:hAnsi="仿宋" w:eastAsia="仿宋" w:cs="仿宋"/>
          <w:color w:val="auto"/>
          <w:spacing w:val="11"/>
          <w:sz w:val="32"/>
        </w:rPr>
        <w:t>、</w:t>
      </w:r>
      <w:r>
        <w:rPr>
          <w:rFonts w:hint="eastAsia" w:ascii="仿宋" w:hAnsi="仿宋" w:eastAsia="仿宋" w:cs="仿宋"/>
          <w:color w:val="auto"/>
          <w:spacing w:val="11"/>
          <w:sz w:val="32"/>
          <w:lang w:eastAsia="zh-CN"/>
        </w:rPr>
        <w:t>有关</w:t>
      </w:r>
      <w:r>
        <w:rPr>
          <w:rFonts w:hint="eastAsia" w:ascii="仿宋" w:hAnsi="仿宋" w:eastAsia="仿宋" w:cs="仿宋"/>
          <w:color w:val="auto"/>
          <w:spacing w:val="11"/>
          <w:sz w:val="32"/>
        </w:rPr>
        <w:t>乡镇</w:t>
      </w:r>
    </w:p>
    <w:p>
      <w:pPr>
        <w:keepNext w:val="0"/>
        <w:keepLines w:val="0"/>
        <w:pageBreakBefore w:val="0"/>
        <w:widowControl w:val="0"/>
        <w:kinsoku/>
        <w:wordWrap/>
        <w:overflowPunct/>
        <w:topLinePunct w:val="0"/>
        <w:autoSpaceDE/>
        <w:autoSpaceDN/>
        <w:bidi w:val="0"/>
        <w:adjustRightInd/>
        <w:spacing w:line="600" w:lineRule="exact"/>
        <w:ind w:leftChars="0" w:firstLine="684" w:firstLineChars="200"/>
        <w:textAlignment w:val="auto"/>
        <w:rPr>
          <w:rFonts w:hint="eastAsia" w:ascii="楷体_GB2312" w:hAnsi="楷体_GB2312" w:eastAsia="楷体_GB2312" w:cs="楷体_GB2312"/>
          <w:b w:val="0"/>
          <w:bCs/>
          <w:color w:val="auto"/>
          <w:spacing w:val="11"/>
          <w:sz w:val="32"/>
        </w:rPr>
      </w:pPr>
      <w:r>
        <w:rPr>
          <w:rFonts w:hint="eastAsia" w:ascii="楷体_GB2312" w:hAnsi="楷体_GB2312" w:eastAsia="楷体_GB2312" w:cs="楷体_GB2312"/>
          <w:b w:val="0"/>
          <w:bCs/>
          <w:color w:val="auto"/>
          <w:spacing w:val="11"/>
          <w:sz w:val="32"/>
        </w:rPr>
        <w:t>（二）大力发展现代服务业</w:t>
      </w:r>
    </w:p>
    <w:p>
      <w:pPr>
        <w:keepNext w:val="0"/>
        <w:keepLines w:val="0"/>
        <w:pageBreakBefore w:val="0"/>
        <w:widowControl w:val="0"/>
        <w:kinsoku/>
        <w:wordWrap/>
        <w:overflowPunct/>
        <w:topLinePunct w:val="0"/>
        <w:autoSpaceDE/>
        <w:autoSpaceDN/>
        <w:bidi w:val="0"/>
        <w:adjustRightInd/>
        <w:spacing w:line="600" w:lineRule="exact"/>
        <w:ind w:leftChars="0" w:firstLine="684" w:firstLineChars="200"/>
        <w:textAlignment w:val="auto"/>
        <w:rPr>
          <w:rFonts w:hint="eastAsia" w:ascii="仿宋_GB2312" w:hAnsi="仿宋_GB2312" w:eastAsia="仿宋_GB2312"/>
          <w:color w:val="auto"/>
          <w:spacing w:val="11"/>
          <w:sz w:val="32"/>
        </w:rPr>
      </w:pPr>
      <w:r>
        <w:rPr>
          <w:rFonts w:hint="eastAsia" w:ascii="仿宋_GB2312" w:hAnsi="仿宋_GB2312" w:eastAsia="仿宋_GB2312"/>
          <w:color w:val="auto"/>
          <w:spacing w:val="11"/>
          <w:sz w:val="32"/>
        </w:rPr>
        <w:t>围绕促进全县产业结构战略性调整，着力发展壮大高成长性服务业，培育发展新兴服务业，优化要素资源配置,强化龙头企业和项目带动,推动现代物流、电子商务、金融科技、健康养老等服务业的扩量提质发展,为服务业强县目标提供有力支撑。</w:t>
      </w:r>
    </w:p>
    <w:p>
      <w:pPr>
        <w:keepNext w:val="0"/>
        <w:keepLines w:val="0"/>
        <w:pageBreakBefore w:val="0"/>
        <w:widowControl w:val="0"/>
        <w:numPr>
          <w:ilvl w:val="0"/>
          <w:numId w:val="0"/>
        </w:numPr>
        <w:kinsoku/>
        <w:wordWrap/>
        <w:overflowPunct/>
        <w:topLinePunct w:val="0"/>
        <w:autoSpaceDE/>
        <w:autoSpaceDN/>
        <w:bidi w:val="0"/>
        <w:adjustRightInd/>
        <w:spacing w:line="600" w:lineRule="exact"/>
        <w:ind w:leftChars="0" w:firstLine="687" w:firstLineChars="200"/>
        <w:textAlignment w:val="auto"/>
        <w:rPr>
          <w:rFonts w:hint="eastAsia" w:ascii="仿宋_GB2312" w:hAnsi="仿宋_GB2312" w:eastAsia="仿宋_GB2312" w:cs="仿宋_GB2312"/>
          <w:color w:val="auto"/>
          <w:spacing w:val="11"/>
          <w:sz w:val="32"/>
        </w:rPr>
      </w:pPr>
      <w:r>
        <w:rPr>
          <w:rFonts w:hint="eastAsia" w:ascii="仿宋_GB2312" w:hAnsi="仿宋_GB2312" w:eastAsia="仿宋_GB2312"/>
          <w:b/>
          <w:color w:val="auto"/>
          <w:spacing w:val="11"/>
          <w:sz w:val="32"/>
          <w:lang w:val="en-US" w:eastAsia="zh-CN"/>
        </w:rPr>
        <w:t>1.</w:t>
      </w:r>
      <w:r>
        <w:rPr>
          <w:rFonts w:hint="eastAsia" w:ascii="仿宋_GB2312" w:hAnsi="仿宋_GB2312" w:eastAsia="仿宋_GB2312"/>
          <w:b/>
          <w:color w:val="auto"/>
          <w:spacing w:val="11"/>
          <w:sz w:val="32"/>
        </w:rPr>
        <w:t>实施现代物流工程。</w:t>
      </w:r>
      <w:r>
        <w:rPr>
          <w:rFonts w:hint="eastAsia" w:ascii="仿宋_GB2312" w:hAnsi="仿宋_GB2312" w:eastAsia="仿宋_GB2312"/>
          <w:color w:val="auto"/>
          <w:spacing w:val="11"/>
          <w:sz w:val="32"/>
        </w:rPr>
        <w:t>重点做好以中心城区为核心的冷链物流、快递物流和电商物流工程，整合提升全县物流业发展水平。着力培育第三方冷链物流企业，加快推进群发农产品物流产业园建设，</w:t>
      </w:r>
      <w:r>
        <w:rPr>
          <w:rFonts w:hint="eastAsia" w:ascii="仿宋" w:hAnsi="仿宋" w:eastAsia="仿宋" w:cs="仿宋"/>
          <w:color w:val="auto"/>
          <w:spacing w:val="0"/>
          <w:sz w:val="32"/>
          <w:szCs w:val="32"/>
          <w:lang w:val="en-US" w:eastAsia="zh-CN"/>
        </w:rPr>
        <w:t>确保</w:t>
      </w:r>
      <w:r>
        <w:rPr>
          <w:rFonts w:hint="eastAsia" w:ascii="仿宋" w:hAnsi="仿宋" w:eastAsia="仿宋" w:cs="仿宋"/>
          <w:color w:val="auto"/>
          <w:spacing w:val="0"/>
          <w:sz w:val="32"/>
          <w:szCs w:val="32"/>
          <w:lang w:eastAsia="zh-CN"/>
        </w:rPr>
        <w:t>农产品物流园、配送中心、分拣车间、农产品初加工车间等建成投用，</w:t>
      </w:r>
      <w:r>
        <w:rPr>
          <w:rFonts w:hint="eastAsia" w:ascii="仿宋_GB2312" w:hAnsi="仿宋_GB2312" w:eastAsia="仿宋_GB2312"/>
          <w:color w:val="auto"/>
          <w:spacing w:val="11"/>
          <w:sz w:val="32"/>
        </w:rPr>
        <w:t>打造中原一流的冷链物流基地。着眼我县快递产业结构调整和转型升级特点，提升我县快递规</w:t>
      </w:r>
      <w:r>
        <w:rPr>
          <w:rFonts w:hint="eastAsia" w:ascii="仿宋_GB2312" w:hAnsi="仿宋_GB2312" w:eastAsia="仿宋_GB2312" w:cs="仿宋_GB2312"/>
          <w:color w:val="auto"/>
          <w:spacing w:val="11"/>
          <w:sz w:val="32"/>
        </w:rPr>
        <w:t>模，加强基础网络覆盖，提升快递业服务能力和竟争力。立足做大做强电商物流，促进线上线下融合，培育壮大一批本土跨境电商物流骨干企业，进一步提升电商物流服务与创新能力。围绕产业集聚区、循环经济产业集聚区、特色商业区</w:t>
      </w:r>
      <w:r>
        <w:rPr>
          <w:rFonts w:hint="eastAsia" w:ascii="仿宋_GB2312" w:hAnsi="仿宋_GB2312" w:eastAsia="仿宋_GB2312" w:cs="仿宋_GB2312"/>
          <w:color w:val="auto"/>
          <w:spacing w:val="11"/>
          <w:sz w:val="32"/>
          <w:lang w:eastAsia="zh-CN"/>
        </w:rPr>
        <w:t>，</w:t>
      </w:r>
      <w:r>
        <w:rPr>
          <w:rFonts w:hint="eastAsia" w:ascii="仿宋_GB2312" w:hAnsi="仿宋_GB2312" w:eastAsia="仿宋_GB2312" w:cs="仿宋_GB2312"/>
          <w:color w:val="auto"/>
          <w:spacing w:val="11"/>
          <w:sz w:val="32"/>
        </w:rPr>
        <w:t>积极推进制造企业物流服务外包，依托现在电子商务+产业园项目，推广物联网、云计算、大数据等新技术在物流业中的应用，推进“互联网+物流”，打造一批具有示范效应的“互联网+专业物流园”的智慧物流园区。</w:t>
      </w:r>
    </w:p>
    <w:p>
      <w:pPr>
        <w:keepNext w:val="0"/>
        <w:keepLines w:val="0"/>
        <w:pageBreakBefore w:val="0"/>
        <w:widowControl w:val="0"/>
        <w:numPr>
          <w:ilvl w:val="0"/>
          <w:numId w:val="0"/>
        </w:numPr>
        <w:kinsoku/>
        <w:wordWrap/>
        <w:overflowPunct/>
        <w:topLinePunct w:val="0"/>
        <w:autoSpaceDE/>
        <w:autoSpaceDN/>
        <w:bidi w:val="0"/>
        <w:adjustRightInd/>
        <w:spacing w:line="600" w:lineRule="exact"/>
        <w:ind w:leftChars="0" w:firstLine="684" w:firstLineChars="200"/>
        <w:textAlignment w:val="auto"/>
        <w:rPr>
          <w:rFonts w:hint="eastAsia" w:ascii="仿宋_GB2312" w:hAnsi="仿宋_GB2312" w:eastAsia="仿宋_GB2312" w:cs="仿宋_GB2312"/>
          <w:color w:val="auto"/>
          <w:spacing w:val="11"/>
          <w:sz w:val="32"/>
        </w:rPr>
      </w:pPr>
      <w:r>
        <w:rPr>
          <w:rFonts w:hint="eastAsia" w:ascii="仿宋_GB2312" w:hAnsi="仿宋_GB2312" w:eastAsia="仿宋_GB2312" w:cs="仿宋_GB2312"/>
          <w:color w:val="auto"/>
          <w:spacing w:val="11"/>
          <w:sz w:val="32"/>
        </w:rPr>
        <w:t>牵头单位：县商务局、县交通局、县邮政公司；责任单位：县规划局、县发改委、县农业局、县国土局、县财政局、“三区”管委会</w:t>
      </w:r>
    </w:p>
    <w:p>
      <w:pPr>
        <w:keepNext w:val="0"/>
        <w:keepLines w:val="0"/>
        <w:pageBreakBefore w:val="0"/>
        <w:widowControl w:val="0"/>
        <w:numPr>
          <w:ilvl w:val="0"/>
          <w:numId w:val="0"/>
        </w:numPr>
        <w:kinsoku/>
        <w:wordWrap/>
        <w:overflowPunct/>
        <w:topLinePunct w:val="0"/>
        <w:autoSpaceDE/>
        <w:autoSpaceDN/>
        <w:bidi w:val="0"/>
        <w:adjustRightInd/>
        <w:spacing w:line="600" w:lineRule="exact"/>
        <w:ind w:leftChars="0" w:firstLine="687" w:firstLineChars="200"/>
        <w:textAlignment w:val="auto"/>
        <w:rPr>
          <w:rFonts w:hint="eastAsia" w:ascii="仿宋_GB2312" w:hAnsi="仿宋_GB2312" w:eastAsia="仿宋_GB2312" w:cs="仿宋_GB2312"/>
          <w:color w:val="auto"/>
          <w:spacing w:val="11"/>
          <w:sz w:val="32"/>
        </w:rPr>
      </w:pPr>
      <w:r>
        <w:rPr>
          <w:rFonts w:hint="eastAsia" w:ascii="仿宋_GB2312" w:hAnsi="仿宋_GB2312" w:eastAsia="仿宋_GB2312" w:cs="仿宋_GB2312"/>
          <w:b/>
          <w:color w:val="auto"/>
          <w:spacing w:val="11"/>
          <w:sz w:val="32"/>
          <w:lang w:val="en-US" w:eastAsia="zh-CN"/>
        </w:rPr>
        <w:t>2.</w:t>
      </w:r>
      <w:r>
        <w:rPr>
          <w:rFonts w:hint="eastAsia" w:ascii="仿宋_GB2312" w:hAnsi="仿宋_GB2312" w:eastAsia="仿宋_GB2312" w:cs="仿宋_GB2312"/>
          <w:b/>
          <w:color w:val="auto"/>
          <w:spacing w:val="11"/>
          <w:sz w:val="32"/>
        </w:rPr>
        <w:t>大力发展互联网经济。</w:t>
      </w:r>
      <w:r>
        <w:rPr>
          <w:rFonts w:hint="eastAsia" w:ascii="仿宋_GB2312" w:hAnsi="仿宋_GB2312" w:eastAsia="仿宋_GB2312" w:cs="仿宋_GB2312"/>
          <w:color w:val="auto"/>
          <w:spacing w:val="11"/>
          <w:sz w:val="32"/>
        </w:rPr>
        <w:t>认真贯彻落实国家有关鼓励信息服务业发展的各项优惠政策，重点发展互联网经济，加快智慧城市建设，做好电子商务进农村试点工作,打造一批电子商务专业村。综合运用电子商务手段，探索现有传统企业转型路径，增加同百度、阿里巴巴、腾讯等知名互联网企业在“互联网+”领域的沟通联系，有效利用各类电商平台，实现产业体系转型升级；积极培育农产品电子商务和跨境电商主体，鼓励“襄城襄网”等电商企业依托电子商务平台开展境外销售,特别是采取自主品牌方式建设境外零售终端,提升我县产品在境外市场的品牌影响力和附加值。支持外贸企业通过网络渠道扩大境外产品进口，鼓励商贸服务企业通过电子商务拓展进出口代理业务,为中小企业开展跨境电子商务提供服务。</w:t>
      </w:r>
    </w:p>
    <w:p>
      <w:pPr>
        <w:keepNext w:val="0"/>
        <w:keepLines w:val="0"/>
        <w:pageBreakBefore w:val="0"/>
        <w:widowControl w:val="0"/>
        <w:numPr>
          <w:ilvl w:val="0"/>
          <w:numId w:val="0"/>
        </w:numPr>
        <w:kinsoku/>
        <w:wordWrap/>
        <w:overflowPunct/>
        <w:topLinePunct w:val="0"/>
        <w:autoSpaceDE/>
        <w:autoSpaceDN/>
        <w:bidi w:val="0"/>
        <w:adjustRightInd/>
        <w:spacing w:line="600" w:lineRule="exact"/>
        <w:ind w:leftChars="0" w:firstLine="684" w:firstLineChars="200"/>
        <w:textAlignment w:val="auto"/>
        <w:rPr>
          <w:rFonts w:hint="eastAsia" w:ascii="仿宋_GB2312" w:hAnsi="仿宋_GB2312" w:eastAsia="仿宋_GB2312" w:cs="仿宋_GB2312"/>
          <w:color w:val="auto"/>
          <w:spacing w:val="11"/>
          <w:sz w:val="32"/>
        </w:rPr>
      </w:pPr>
      <w:r>
        <w:rPr>
          <w:rFonts w:hint="eastAsia" w:ascii="仿宋_GB2312" w:hAnsi="仿宋_GB2312" w:eastAsia="仿宋_GB2312" w:cs="仿宋_GB2312"/>
          <w:color w:val="auto"/>
          <w:spacing w:val="11"/>
          <w:sz w:val="32"/>
        </w:rPr>
        <w:t>牵头单位：县工信委、县商务局、特色商业区管委会；责任单位：县发改委、县政府办、县交通局、县财政局</w:t>
      </w:r>
    </w:p>
    <w:p>
      <w:pPr>
        <w:keepNext w:val="0"/>
        <w:keepLines w:val="0"/>
        <w:pageBreakBefore w:val="0"/>
        <w:widowControl w:val="0"/>
        <w:kinsoku/>
        <w:wordWrap/>
        <w:overflowPunct/>
        <w:topLinePunct w:val="0"/>
        <w:autoSpaceDE/>
        <w:autoSpaceDN/>
        <w:bidi w:val="0"/>
        <w:adjustRightInd/>
        <w:spacing w:line="600" w:lineRule="exact"/>
        <w:ind w:leftChars="0" w:firstLine="687" w:firstLineChars="200"/>
        <w:textAlignment w:val="auto"/>
        <w:rPr>
          <w:rFonts w:hint="eastAsia" w:ascii="仿宋_GB2312" w:hAnsi="仿宋_GB2312" w:eastAsia="仿宋_GB2312" w:cs="仿宋_GB2312"/>
          <w:color w:val="auto"/>
          <w:spacing w:val="11"/>
          <w:sz w:val="32"/>
        </w:rPr>
      </w:pPr>
      <w:r>
        <w:rPr>
          <w:rFonts w:hint="eastAsia" w:ascii="仿宋_GB2312" w:hAnsi="仿宋_GB2312" w:eastAsia="仿宋_GB2312" w:cs="仿宋_GB2312"/>
          <w:b/>
          <w:color w:val="auto"/>
          <w:spacing w:val="11"/>
          <w:sz w:val="32"/>
          <w:lang w:val="en-US" w:eastAsia="zh-CN"/>
        </w:rPr>
        <w:t>3</w:t>
      </w:r>
      <w:r>
        <w:rPr>
          <w:rFonts w:hint="eastAsia" w:ascii="仿宋_GB2312" w:hAnsi="仿宋_GB2312" w:eastAsia="仿宋_GB2312" w:cs="仿宋_GB2312"/>
          <w:b/>
          <w:color w:val="auto"/>
          <w:spacing w:val="11"/>
          <w:sz w:val="32"/>
        </w:rPr>
        <w:t>.创新发展金融科技。</w:t>
      </w:r>
      <w:r>
        <w:rPr>
          <w:rFonts w:hint="eastAsia" w:ascii="仿宋_GB2312" w:hAnsi="仿宋_GB2312" w:eastAsia="仿宋_GB2312" w:cs="仿宋_GB2312"/>
          <w:color w:val="auto"/>
          <w:spacing w:val="11"/>
          <w:sz w:val="32"/>
        </w:rPr>
        <w:t>抢抓郑许融合发展机遇，积极承接许昌金融商务区的延伸服务功能，培育多元化、多功能金融组织体系</w:t>
      </w:r>
      <w:r>
        <w:rPr>
          <w:rFonts w:hint="eastAsia" w:ascii="仿宋_GB2312" w:hAnsi="仿宋_GB2312" w:eastAsia="仿宋_GB2312" w:cs="仿宋_GB2312"/>
          <w:color w:val="auto"/>
          <w:spacing w:val="11"/>
          <w:sz w:val="32"/>
          <w:lang w:eastAsia="zh-CN"/>
        </w:rPr>
        <w:t>。</w:t>
      </w:r>
      <w:r>
        <w:rPr>
          <w:rFonts w:hint="eastAsia" w:ascii="仿宋_GB2312" w:hAnsi="仿宋_GB2312" w:eastAsia="仿宋_GB2312" w:cs="仿宋_GB2312"/>
          <w:color w:val="auto"/>
          <w:spacing w:val="11"/>
          <w:sz w:val="32"/>
        </w:rPr>
        <w:t>重点支持农商行发展，鼓励农商行在县外设立分支机构</w:t>
      </w:r>
      <w:r>
        <w:rPr>
          <w:rFonts w:hint="eastAsia" w:ascii="仿宋_GB2312" w:hAnsi="仿宋_GB2312" w:eastAsia="仿宋_GB2312" w:cs="仿宋_GB2312"/>
          <w:color w:val="auto"/>
          <w:spacing w:val="11"/>
          <w:sz w:val="32"/>
          <w:lang w:eastAsia="zh-CN"/>
        </w:rPr>
        <w:t>；</w:t>
      </w:r>
      <w:r>
        <w:rPr>
          <w:rFonts w:hint="eastAsia" w:ascii="仿宋_GB2312" w:hAnsi="仿宋_GB2312" w:eastAsia="仿宋_GB2312" w:cs="仿宋_GB2312"/>
          <w:color w:val="auto"/>
          <w:spacing w:val="11"/>
          <w:sz w:val="32"/>
        </w:rPr>
        <w:t>鼓励外部银行、证券、保险等各类金融机构入驻，促成在我县注册独立法人。深化金融改革创新，鼓励和支持各银行机构加大信贷产品开发和服务创新，支持企业开展互联网股权众筹融资、知识产权质押、科技融资担保等创新融资模式。大力扶持河南万杰智能机械科技股份有限公司、河南舒莱卫生用品有限公司等优势企业上市融资。加大对金融科技的扶持力度，探索设立金融科技专项产业引导基金,加大对重点金融科技创新项目的支持力度,利用“襄城襄网”建成的“双创”企业孵化器等平台，积极与国内外高等院校、科研院所合作，在我县设立分支机构和科技成果转化基地。鼓励创客空间、众创咖啡等众创团队向商务楼宇集聚。加快创建金融安全建设，稳步发展证券、期货、保险和村镇银行，规范发展融资性担保业和小额贷款公司，推进金融生态县及农村金融创新示范县创建工作。</w:t>
      </w:r>
    </w:p>
    <w:p>
      <w:pPr>
        <w:keepNext w:val="0"/>
        <w:keepLines w:val="0"/>
        <w:pageBreakBefore w:val="0"/>
        <w:widowControl w:val="0"/>
        <w:kinsoku/>
        <w:wordWrap/>
        <w:overflowPunct/>
        <w:topLinePunct w:val="0"/>
        <w:autoSpaceDE/>
        <w:autoSpaceDN/>
        <w:bidi w:val="0"/>
        <w:adjustRightInd/>
        <w:spacing w:line="600" w:lineRule="exact"/>
        <w:ind w:leftChars="0" w:firstLine="684" w:firstLineChars="200"/>
        <w:textAlignment w:val="auto"/>
        <w:rPr>
          <w:rFonts w:hint="eastAsia" w:ascii="仿宋_GB2312" w:hAnsi="仿宋_GB2312" w:eastAsia="仿宋_GB2312" w:cs="仿宋_GB2312"/>
          <w:color w:val="auto"/>
          <w:spacing w:val="11"/>
          <w:sz w:val="32"/>
        </w:rPr>
      </w:pPr>
      <w:r>
        <w:rPr>
          <w:rFonts w:hint="eastAsia" w:ascii="仿宋_GB2312" w:hAnsi="仿宋_GB2312" w:eastAsia="仿宋_GB2312" w:cs="仿宋_GB2312"/>
          <w:color w:val="auto"/>
          <w:spacing w:val="11"/>
          <w:sz w:val="32"/>
        </w:rPr>
        <w:t>牵头单位：县金融办；责任单位：县人行</w:t>
      </w:r>
    </w:p>
    <w:p>
      <w:pPr>
        <w:keepNext w:val="0"/>
        <w:keepLines w:val="0"/>
        <w:pageBreakBefore w:val="0"/>
        <w:widowControl w:val="0"/>
        <w:kinsoku/>
        <w:wordWrap/>
        <w:overflowPunct/>
        <w:topLinePunct w:val="0"/>
        <w:autoSpaceDE/>
        <w:autoSpaceDN/>
        <w:bidi w:val="0"/>
        <w:adjustRightInd/>
        <w:spacing w:line="600" w:lineRule="exact"/>
        <w:ind w:leftChars="0" w:firstLine="687" w:firstLineChars="200"/>
        <w:textAlignment w:val="auto"/>
        <w:rPr>
          <w:rFonts w:hint="eastAsia" w:ascii="仿宋_GB2312" w:hAnsi="仿宋_GB2312" w:eastAsia="仿宋_GB2312" w:cs="仿宋_GB2312"/>
          <w:color w:val="auto"/>
          <w:spacing w:val="11"/>
          <w:sz w:val="32"/>
        </w:rPr>
      </w:pPr>
      <w:r>
        <w:rPr>
          <w:rFonts w:hint="eastAsia" w:ascii="仿宋_GB2312" w:hAnsi="仿宋_GB2312"/>
          <w:b/>
          <w:color w:val="auto"/>
          <w:spacing w:val="11"/>
          <w:sz w:val="32"/>
          <w:lang w:val="en-US" w:eastAsia="zh-CN"/>
        </w:rPr>
        <w:t>4</w:t>
      </w:r>
      <w:r>
        <w:rPr>
          <w:rFonts w:hint="eastAsia" w:ascii="仿宋_GB2312" w:hAnsi="仿宋_GB2312" w:eastAsia="仿宋_GB2312"/>
          <w:b/>
          <w:color w:val="auto"/>
          <w:spacing w:val="11"/>
          <w:sz w:val="32"/>
        </w:rPr>
        <w:t>.培育壮大健康养老业。</w:t>
      </w:r>
      <w:r>
        <w:rPr>
          <w:rFonts w:hint="eastAsia" w:ascii="仿宋_GB2312" w:hAnsi="仿宋_GB2312" w:eastAsia="仿宋_GB2312"/>
          <w:color w:val="auto"/>
          <w:spacing w:val="11"/>
          <w:sz w:val="32"/>
        </w:rPr>
        <w:t>坚持政府引导、企业主体、多方参与、市场运作，着力培育壮大健康养老业。重点加快推进紫云谷新型养老基地、龙耀健康城等健康养老项目建设，努力打造全省乃至全国重要的生态休闲养生基地。加快推进中医院整体迁建工程等重点项目建设，着力打造健康养老产业平台。完善县域健康养老养生规划布局，提升现有养老机构服务功能，强化政府托底保障职责，以提升全民健康水平为目标，坚持“医、康、养”一体化发展，加强医疗、体育基础设施建设，合理配置资源，持续推进优质医疗卫生资源扩增。达到“县城有养老机构、乡镇有综合性养老服务中心，行政村有幸福院”的县乡村三级养老设施全覆盖建设目标，不断</w:t>
      </w:r>
      <w:r>
        <w:rPr>
          <w:rFonts w:hint="eastAsia" w:ascii="仿宋_GB2312" w:hAnsi="仿宋_GB2312" w:eastAsia="仿宋_GB2312" w:cs="仿宋_GB2312"/>
          <w:color w:val="auto"/>
          <w:spacing w:val="11"/>
          <w:sz w:val="32"/>
        </w:rPr>
        <w:t>满足人民群众多层次、多元化的健康服务需求。依托养生资源和自然生态优势，以推进养老服务供给侧结构性改革为主线,推动医养融合发展，让全县老年人共享全面建成小康社会的发展成果。</w:t>
      </w:r>
    </w:p>
    <w:p>
      <w:pPr>
        <w:keepNext w:val="0"/>
        <w:keepLines w:val="0"/>
        <w:pageBreakBefore w:val="0"/>
        <w:widowControl w:val="0"/>
        <w:kinsoku/>
        <w:wordWrap/>
        <w:overflowPunct/>
        <w:topLinePunct w:val="0"/>
        <w:autoSpaceDE/>
        <w:autoSpaceDN/>
        <w:bidi w:val="0"/>
        <w:adjustRightInd/>
        <w:spacing w:line="600" w:lineRule="exact"/>
        <w:ind w:leftChars="0" w:firstLine="684" w:firstLineChars="200"/>
        <w:textAlignment w:val="auto"/>
        <w:rPr>
          <w:rFonts w:hint="eastAsia" w:ascii="仿宋_GB2312" w:hAnsi="仿宋_GB2312" w:eastAsia="仿宋_GB2312" w:cs="仿宋_GB2312"/>
          <w:color w:val="auto"/>
          <w:spacing w:val="11"/>
          <w:sz w:val="32"/>
        </w:rPr>
      </w:pPr>
      <w:r>
        <w:rPr>
          <w:rFonts w:hint="eastAsia" w:ascii="仿宋_GB2312" w:hAnsi="仿宋_GB2312" w:eastAsia="仿宋_GB2312" w:cs="仿宋_GB2312"/>
          <w:color w:val="auto"/>
          <w:spacing w:val="11"/>
          <w:sz w:val="32"/>
        </w:rPr>
        <w:t>牵头单位：县卫计委、县民政局、县发改委；责任单位：县规划局、县财政局、县林业局、县教体局、相关乡镇</w:t>
      </w:r>
    </w:p>
    <w:p>
      <w:pPr>
        <w:keepNext w:val="0"/>
        <w:keepLines w:val="0"/>
        <w:pageBreakBefore w:val="0"/>
        <w:widowControl w:val="0"/>
        <w:kinsoku/>
        <w:wordWrap/>
        <w:overflowPunct/>
        <w:topLinePunct w:val="0"/>
        <w:autoSpaceDE/>
        <w:autoSpaceDN/>
        <w:bidi w:val="0"/>
        <w:adjustRightInd/>
        <w:spacing w:line="600" w:lineRule="exact"/>
        <w:ind w:leftChars="0" w:firstLine="684" w:firstLineChars="200"/>
        <w:textAlignment w:val="auto"/>
        <w:rPr>
          <w:rFonts w:hint="eastAsia" w:ascii="楷体_GB2312" w:hAnsi="楷体_GB2312" w:eastAsia="楷体_GB2312"/>
          <w:b w:val="0"/>
          <w:bCs/>
          <w:color w:val="auto"/>
          <w:spacing w:val="11"/>
          <w:sz w:val="32"/>
        </w:rPr>
      </w:pPr>
      <w:r>
        <w:rPr>
          <w:rFonts w:hint="eastAsia" w:ascii="楷体_GB2312" w:hAnsi="楷体_GB2312" w:eastAsia="楷体_GB2312"/>
          <w:b w:val="0"/>
          <w:bCs/>
          <w:color w:val="auto"/>
          <w:spacing w:val="11"/>
          <w:sz w:val="32"/>
        </w:rPr>
        <w:t>（三）持续提升传统服务业</w:t>
      </w:r>
    </w:p>
    <w:p>
      <w:pPr>
        <w:keepNext w:val="0"/>
        <w:keepLines w:val="0"/>
        <w:pageBreakBefore w:val="0"/>
        <w:widowControl w:val="0"/>
        <w:kinsoku/>
        <w:wordWrap/>
        <w:overflowPunct/>
        <w:topLinePunct w:val="0"/>
        <w:autoSpaceDE/>
        <w:autoSpaceDN/>
        <w:bidi w:val="0"/>
        <w:adjustRightInd/>
        <w:spacing w:line="600" w:lineRule="exact"/>
        <w:ind w:leftChars="0" w:firstLine="684" w:firstLineChars="200"/>
        <w:textAlignment w:val="auto"/>
        <w:rPr>
          <w:rFonts w:hint="eastAsia" w:ascii="仿宋_GB2312" w:hAnsi="仿宋_GB2312" w:eastAsia="仿宋_GB2312" w:cs="仿宋_GB2312"/>
          <w:color w:val="auto"/>
          <w:spacing w:val="11"/>
          <w:sz w:val="32"/>
        </w:rPr>
      </w:pPr>
      <w:r>
        <w:rPr>
          <w:rFonts w:hint="eastAsia" w:ascii="仿宋_GB2312" w:hAnsi="仿宋_GB2312" w:eastAsia="仿宋_GB2312" w:cs="仿宋_GB2312"/>
          <w:color w:val="auto"/>
          <w:spacing w:val="11"/>
          <w:sz w:val="32"/>
        </w:rPr>
        <w:t>创新经营理念，优化经营模式，应用现代管理理念、信息技术和新型业态模式,重点提升我县住宿餐饮业服务质量，加快商贸流通、房地产等传统支柱服务业改造提升,培育服务业竞争新优势。</w:t>
      </w:r>
    </w:p>
    <w:p>
      <w:pPr>
        <w:keepNext w:val="0"/>
        <w:keepLines w:val="0"/>
        <w:pageBreakBefore w:val="0"/>
        <w:widowControl w:val="0"/>
        <w:kinsoku/>
        <w:wordWrap/>
        <w:overflowPunct/>
        <w:topLinePunct w:val="0"/>
        <w:autoSpaceDE/>
        <w:autoSpaceDN/>
        <w:bidi w:val="0"/>
        <w:adjustRightInd/>
        <w:spacing w:line="600" w:lineRule="exact"/>
        <w:ind w:firstLine="693"/>
        <w:textAlignment w:val="auto"/>
        <w:rPr>
          <w:rFonts w:hint="eastAsia" w:ascii="仿宋_GB2312" w:hAnsi="仿宋_GB2312" w:eastAsia="仿宋_GB2312" w:cs="仿宋_GB2312"/>
          <w:color w:val="auto"/>
          <w:spacing w:val="11"/>
          <w:sz w:val="32"/>
        </w:rPr>
      </w:pPr>
      <w:r>
        <w:rPr>
          <w:rFonts w:hint="eastAsia" w:ascii="仿宋_GB2312" w:hAnsi="仿宋_GB2312" w:eastAsia="仿宋_GB2312" w:cs="仿宋_GB2312"/>
          <w:b/>
          <w:color w:val="auto"/>
          <w:spacing w:val="11"/>
          <w:sz w:val="32"/>
        </w:rPr>
        <w:t>1.提升住宿餐饮业。</w:t>
      </w:r>
      <w:r>
        <w:rPr>
          <w:rFonts w:hint="eastAsia" w:ascii="仿宋_GB2312" w:hAnsi="仿宋_GB2312" w:eastAsia="仿宋_GB2312" w:cs="仿宋_GB2312"/>
          <w:color w:val="auto"/>
          <w:spacing w:val="11"/>
          <w:sz w:val="32"/>
        </w:rPr>
        <w:t>积极发掘培育特色餐饮品牌和“老字号”企业,做好襄城美食名吃的省市行业评比和宣传推介工作，推动住宿餐饮企业分层错位经营,充分利用网购和微博微信促销等营销方式开拓市场,确保将襄城名吃走出河南，叫响全国。建成一批传统住宿餐饮与生态游憩、演艺娱乐、文化体验融合发展综合休闲项目,鼓励发展绿色饭店和经济型连锁酒店,丰富面向大众消费群体、年轻消费群体的产品和服务项目,培育形成健康、环保、节约的消费模式。</w:t>
      </w:r>
    </w:p>
    <w:p>
      <w:pPr>
        <w:keepNext w:val="0"/>
        <w:keepLines w:val="0"/>
        <w:pageBreakBefore w:val="0"/>
        <w:widowControl w:val="0"/>
        <w:kinsoku/>
        <w:wordWrap/>
        <w:overflowPunct/>
        <w:topLinePunct w:val="0"/>
        <w:autoSpaceDE/>
        <w:autoSpaceDN/>
        <w:bidi w:val="0"/>
        <w:adjustRightInd/>
        <w:spacing w:line="600" w:lineRule="exact"/>
        <w:ind w:firstLine="693"/>
        <w:textAlignment w:val="auto"/>
        <w:rPr>
          <w:rFonts w:hint="eastAsia" w:ascii="仿宋_GB2312" w:hAnsi="仿宋_GB2312" w:eastAsia="仿宋_GB2312" w:cs="仿宋_GB2312"/>
          <w:color w:val="auto"/>
          <w:spacing w:val="11"/>
          <w:sz w:val="32"/>
          <w:lang w:val="en-US"/>
        </w:rPr>
      </w:pPr>
      <w:r>
        <w:rPr>
          <w:rFonts w:hint="eastAsia" w:ascii="仿宋_GB2312" w:hAnsi="仿宋_GB2312" w:eastAsia="仿宋_GB2312" w:cs="仿宋_GB2312"/>
          <w:color w:val="auto"/>
          <w:spacing w:val="11"/>
          <w:sz w:val="32"/>
        </w:rPr>
        <w:t>牵头单位：县</w:t>
      </w:r>
      <w:r>
        <w:rPr>
          <w:rFonts w:hint="eastAsia" w:ascii="仿宋_GB2312" w:hAnsi="仿宋_GB2312" w:eastAsia="仿宋_GB2312" w:cs="仿宋_GB2312"/>
          <w:color w:val="auto"/>
          <w:spacing w:val="11"/>
          <w:sz w:val="32"/>
          <w:lang w:eastAsia="zh-CN"/>
        </w:rPr>
        <w:t>文化广电和旅游局</w:t>
      </w:r>
      <w:r>
        <w:rPr>
          <w:rFonts w:hint="eastAsia" w:ascii="仿宋_GB2312" w:hAnsi="仿宋_GB2312" w:eastAsia="仿宋_GB2312" w:cs="仿宋_GB2312"/>
          <w:color w:val="auto"/>
          <w:spacing w:val="11"/>
          <w:sz w:val="32"/>
        </w:rPr>
        <w:t>；责任单位：县</w:t>
      </w:r>
      <w:r>
        <w:rPr>
          <w:rFonts w:hint="eastAsia" w:ascii="仿宋_GB2312" w:hAnsi="仿宋_GB2312" w:eastAsia="仿宋_GB2312" w:cs="仿宋_GB2312"/>
          <w:color w:val="auto"/>
          <w:spacing w:val="11"/>
          <w:sz w:val="32"/>
          <w:lang w:eastAsia="zh-CN"/>
        </w:rPr>
        <w:t>市场监督管理局</w:t>
      </w:r>
    </w:p>
    <w:p>
      <w:pPr>
        <w:keepNext w:val="0"/>
        <w:keepLines w:val="0"/>
        <w:pageBreakBefore w:val="0"/>
        <w:widowControl w:val="0"/>
        <w:kinsoku/>
        <w:wordWrap/>
        <w:overflowPunct/>
        <w:topLinePunct w:val="0"/>
        <w:autoSpaceDE/>
        <w:autoSpaceDN/>
        <w:bidi w:val="0"/>
        <w:adjustRightInd/>
        <w:spacing w:line="600" w:lineRule="exact"/>
        <w:ind w:leftChars="0" w:firstLine="687" w:firstLineChars="200"/>
        <w:textAlignment w:val="auto"/>
        <w:rPr>
          <w:rFonts w:hint="eastAsia" w:ascii="仿宋" w:hAnsi="仿宋" w:eastAsia="仿宋" w:cs="仿宋"/>
          <w:color w:val="auto"/>
          <w:spacing w:val="0"/>
          <w:sz w:val="32"/>
          <w:szCs w:val="32"/>
          <w:lang w:eastAsia="zh-CN"/>
        </w:rPr>
      </w:pPr>
      <w:r>
        <w:rPr>
          <w:rFonts w:hint="eastAsia" w:ascii="仿宋_GB2312" w:hAnsi="仿宋_GB2312" w:eastAsia="仿宋_GB2312" w:cs="仿宋_GB2312"/>
          <w:b/>
          <w:color w:val="auto"/>
          <w:spacing w:val="11"/>
          <w:sz w:val="32"/>
        </w:rPr>
        <w:t>2.提升商贸流通业。</w:t>
      </w:r>
      <w:r>
        <w:rPr>
          <w:rFonts w:hint="eastAsia" w:ascii="仿宋_GB2312" w:hAnsi="仿宋_GB2312" w:eastAsia="仿宋_GB2312" w:cs="仿宋_GB2312"/>
          <w:color w:val="auto"/>
          <w:spacing w:val="11"/>
          <w:sz w:val="32"/>
        </w:rPr>
        <w:t>深化商贸流通体制改革，促进电子商务与传统商贸的深度融合，加快培育市场主体，积极完善台湾城农贸市场、常庄市场、老城区农贸市场等市场体系功能，加快规划东城区农贸市场、南关回民村小吃城建设进度，促进商贸流通业转型升级、创新发展。在中心城区规划布局功能完善、协调发展的商贸流通体系，加快推进丹尼斯商业街、一峰等大型商贸业发展，完善服务功能，增强辐射带动能力。积极发展连锁经营、折扣店、工厂店等新型业态，支持传统商贸企业建设网上商城、拓展农村经营网络。鼓励发展农村商业网点,利用电子商务平台，打造“15分钟便民服务圈”。</w:t>
      </w:r>
      <w:r>
        <w:rPr>
          <w:rFonts w:hint="eastAsia" w:ascii="仿宋" w:hAnsi="仿宋" w:eastAsia="仿宋" w:cs="仿宋"/>
          <w:color w:val="auto"/>
          <w:spacing w:val="0"/>
          <w:sz w:val="32"/>
          <w:szCs w:val="32"/>
          <w:lang w:eastAsia="zh-CN"/>
        </w:rPr>
        <w:t>加快</w:t>
      </w:r>
      <w:r>
        <w:rPr>
          <w:rFonts w:hint="eastAsia" w:ascii="仿宋" w:hAnsi="仿宋" w:eastAsia="仿宋" w:cs="仿宋"/>
          <w:color w:val="auto"/>
          <w:spacing w:val="0"/>
          <w:sz w:val="32"/>
          <w:szCs w:val="32"/>
          <w:lang w:val="en-US" w:eastAsia="zh-CN"/>
        </w:rPr>
        <w:t>鲜生食客项目、</w:t>
      </w:r>
      <w:r>
        <w:rPr>
          <w:rFonts w:hint="eastAsia" w:ascii="仿宋" w:hAnsi="仿宋" w:eastAsia="仿宋" w:cs="仿宋"/>
          <w:color w:val="auto"/>
          <w:spacing w:val="0"/>
          <w:sz w:val="32"/>
          <w:szCs w:val="32"/>
          <w:lang w:eastAsia="zh-CN"/>
        </w:rPr>
        <w:t>常庄农贸市场改造提升项目建设，确保</w:t>
      </w:r>
      <w:r>
        <w:rPr>
          <w:rFonts w:hint="eastAsia" w:ascii="仿宋" w:hAnsi="仿宋" w:eastAsia="仿宋" w:cs="仿宋"/>
          <w:color w:val="auto"/>
          <w:spacing w:val="0"/>
          <w:sz w:val="32"/>
          <w:szCs w:val="32"/>
          <w:lang w:val="en-US" w:eastAsia="zh-CN"/>
        </w:rPr>
        <w:t>2019年</w:t>
      </w:r>
      <w:r>
        <w:rPr>
          <w:rFonts w:hint="eastAsia" w:ascii="仿宋" w:hAnsi="仿宋" w:eastAsia="仿宋" w:cs="仿宋"/>
          <w:color w:val="auto"/>
          <w:spacing w:val="0"/>
          <w:sz w:val="32"/>
          <w:szCs w:val="32"/>
          <w:lang w:eastAsia="zh-CN"/>
        </w:rPr>
        <w:t>建成投用，全面提升我县商贸流通服务水平。</w:t>
      </w:r>
    </w:p>
    <w:p>
      <w:pPr>
        <w:keepNext w:val="0"/>
        <w:keepLines w:val="0"/>
        <w:pageBreakBefore w:val="0"/>
        <w:widowControl w:val="0"/>
        <w:kinsoku/>
        <w:wordWrap/>
        <w:overflowPunct/>
        <w:topLinePunct w:val="0"/>
        <w:autoSpaceDE/>
        <w:autoSpaceDN/>
        <w:bidi w:val="0"/>
        <w:adjustRightInd/>
        <w:spacing w:line="600" w:lineRule="exact"/>
        <w:ind w:leftChars="0" w:firstLine="684" w:firstLineChars="200"/>
        <w:textAlignment w:val="auto"/>
        <w:rPr>
          <w:rFonts w:hint="eastAsia" w:ascii="仿宋_GB2312" w:hAnsi="仿宋_GB2312" w:eastAsia="仿宋_GB2312" w:cs="仿宋_GB2312"/>
          <w:color w:val="auto"/>
          <w:spacing w:val="11"/>
          <w:sz w:val="32"/>
          <w:lang w:eastAsia="zh-CN"/>
        </w:rPr>
      </w:pPr>
      <w:r>
        <w:rPr>
          <w:rFonts w:hint="eastAsia" w:ascii="仿宋_GB2312" w:hAnsi="仿宋_GB2312" w:eastAsia="仿宋_GB2312" w:cs="仿宋_GB2312"/>
          <w:color w:val="auto"/>
          <w:spacing w:val="11"/>
          <w:sz w:val="32"/>
        </w:rPr>
        <w:t>牵头单位：县</w:t>
      </w:r>
      <w:r>
        <w:rPr>
          <w:rFonts w:hint="eastAsia" w:ascii="仿宋_GB2312" w:hAnsi="仿宋_GB2312" w:eastAsia="仿宋_GB2312" w:cs="仿宋_GB2312"/>
          <w:color w:val="auto"/>
          <w:spacing w:val="11"/>
          <w:sz w:val="32"/>
          <w:lang w:eastAsia="zh-CN"/>
        </w:rPr>
        <w:t>商务局</w:t>
      </w:r>
      <w:r>
        <w:rPr>
          <w:rFonts w:hint="eastAsia" w:ascii="仿宋_GB2312" w:hAnsi="仿宋_GB2312" w:eastAsia="仿宋_GB2312" w:cs="仿宋_GB2312"/>
          <w:color w:val="auto"/>
          <w:spacing w:val="11"/>
          <w:sz w:val="32"/>
        </w:rPr>
        <w:t>；责任单位：</w:t>
      </w:r>
      <w:r>
        <w:rPr>
          <w:rFonts w:hint="eastAsia" w:ascii="仿宋_GB2312" w:hAnsi="仿宋_GB2312" w:eastAsia="仿宋_GB2312" w:cs="仿宋_GB2312"/>
          <w:color w:val="auto"/>
          <w:spacing w:val="11"/>
          <w:sz w:val="32"/>
        </w:rPr>
        <w:t>县</w:t>
      </w:r>
      <w:r>
        <w:rPr>
          <w:rFonts w:hint="eastAsia" w:ascii="仿宋_GB2312" w:hAnsi="仿宋_GB2312" w:eastAsia="仿宋_GB2312" w:cs="仿宋_GB2312"/>
          <w:color w:val="auto"/>
          <w:spacing w:val="11"/>
          <w:sz w:val="32"/>
          <w:lang w:eastAsia="zh-CN"/>
        </w:rPr>
        <w:t>自然资源局</w:t>
      </w:r>
      <w:r>
        <w:rPr>
          <w:rFonts w:hint="eastAsia" w:ascii="仿宋_GB2312" w:hAnsi="仿宋_GB2312" w:eastAsia="仿宋_GB2312" w:cs="仿宋_GB2312"/>
          <w:color w:val="auto"/>
          <w:spacing w:val="11"/>
          <w:sz w:val="32"/>
        </w:rPr>
        <w:t>、</w:t>
      </w:r>
      <w:r>
        <w:rPr>
          <w:rFonts w:hint="eastAsia" w:ascii="仿宋_GB2312" w:hAnsi="仿宋_GB2312" w:eastAsia="仿宋_GB2312" w:cs="仿宋_GB2312"/>
          <w:color w:val="auto"/>
          <w:spacing w:val="11"/>
          <w:sz w:val="32"/>
          <w:lang w:eastAsia="zh-CN"/>
        </w:rPr>
        <w:t>县特色商业区管委会</w:t>
      </w:r>
      <w:r>
        <w:rPr>
          <w:rFonts w:hint="eastAsia" w:ascii="仿宋_GB2312" w:hAnsi="仿宋_GB2312" w:eastAsia="仿宋_GB2312" w:cs="仿宋_GB2312"/>
          <w:color w:val="auto"/>
          <w:spacing w:val="11"/>
          <w:sz w:val="32"/>
          <w:lang w:eastAsia="zh-CN"/>
        </w:rPr>
        <w:t>、</w:t>
      </w:r>
      <w:r>
        <w:rPr>
          <w:rFonts w:hint="eastAsia" w:ascii="仿宋_GB2312" w:hAnsi="仿宋_GB2312" w:eastAsia="仿宋_GB2312" w:cs="仿宋_GB2312"/>
          <w:color w:val="auto"/>
          <w:spacing w:val="11"/>
          <w:sz w:val="32"/>
        </w:rPr>
        <w:t>县</w:t>
      </w:r>
      <w:r>
        <w:rPr>
          <w:rFonts w:hint="eastAsia" w:ascii="仿宋_GB2312" w:hAnsi="仿宋_GB2312" w:eastAsia="仿宋_GB2312" w:cs="仿宋_GB2312"/>
          <w:color w:val="auto"/>
          <w:spacing w:val="11"/>
          <w:sz w:val="32"/>
          <w:lang w:eastAsia="zh-CN"/>
        </w:rPr>
        <w:t>市场建设服务中心</w:t>
      </w:r>
    </w:p>
    <w:p>
      <w:pPr>
        <w:keepNext w:val="0"/>
        <w:keepLines w:val="0"/>
        <w:pageBreakBefore w:val="0"/>
        <w:widowControl w:val="0"/>
        <w:kinsoku/>
        <w:wordWrap/>
        <w:overflowPunct/>
        <w:topLinePunct w:val="0"/>
        <w:autoSpaceDE/>
        <w:autoSpaceDN/>
        <w:bidi w:val="0"/>
        <w:adjustRightInd/>
        <w:spacing w:line="600" w:lineRule="exact"/>
        <w:ind w:leftChars="0" w:firstLine="687" w:firstLineChars="200"/>
        <w:textAlignment w:val="auto"/>
        <w:rPr>
          <w:rFonts w:hint="eastAsia" w:ascii="仿宋_GB2312" w:hAnsi="仿宋_GB2312" w:eastAsia="仿宋_GB2312" w:cs="仿宋_GB2312"/>
          <w:color w:val="auto"/>
          <w:spacing w:val="11"/>
          <w:sz w:val="32"/>
        </w:rPr>
      </w:pPr>
      <w:r>
        <w:rPr>
          <w:rFonts w:hint="eastAsia" w:ascii="仿宋_GB2312" w:hAnsi="仿宋_GB2312" w:eastAsia="仿宋_GB2312" w:cs="仿宋_GB2312"/>
          <w:b/>
          <w:color w:val="auto"/>
          <w:spacing w:val="11"/>
          <w:sz w:val="32"/>
        </w:rPr>
        <w:t>3.提升房地产业。</w:t>
      </w:r>
      <w:r>
        <w:rPr>
          <w:rFonts w:hint="eastAsia" w:ascii="仿宋_GB2312" w:hAnsi="仿宋_GB2312" w:eastAsia="仿宋_GB2312" w:cs="仿宋_GB2312"/>
          <w:color w:val="auto"/>
          <w:spacing w:val="11"/>
          <w:sz w:val="32"/>
        </w:rPr>
        <w:t>加快住宅产业化进程，大力发展城市综合体、园区地产、养老地产等新兴业态</w:t>
      </w:r>
      <w:r>
        <w:rPr>
          <w:rFonts w:hint="eastAsia" w:ascii="仿宋_GB2312" w:hAnsi="仿宋_GB2312" w:eastAsia="仿宋_GB2312" w:cs="仿宋_GB2312"/>
          <w:color w:val="auto"/>
          <w:spacing w:val="11"/>
          <w:sz w:val="32"/>
          <w:lang w:eastAsia="zh-CN"/>
        </w:rPr>
        <w:t>。</w:t>
      </w:r>
      <w:r>
        <w:rPr>
          <w:rFonts w:hint="eastAsia" w:ascii="仿宋_GB2312" w:hAnsi="仿宋_GB2312" w:eastAsia="仿宋_GB2312" w:cs="仿宋_GB2312"/>
          <w:color w:val="auto"/>
          <w:spacing w:val="11"/>
          <w:sz w:val="32"/>
        </w:rPr>
        <w:t>准确把握国家政策，推进“租售同权”，发展壮大一批规模化、专业化的房地产中介服务机构和企业。推动二手房市场发展,规范房屋租赁市场。统筹推进“特色小镇”规划建设、产业集聚区产城融合发展、旧城区改造和新城区建设，通过完善产业集聚区周边居住、学校、医院、商业、文化娱乐等功能，积极推进公交、通信、银行等公共服务向产业集聚区延伸，实现产城融合发展。</w:t>
      </w:r>
    </w:p>
    <w:p>
      <w:pPr>
        <w:keepNext w:val="0"/>
        <w:keepLines w:val="0"/>
        <w:pageBreakBefore w:val="0"/>
        <w:widowControl w:val="0"/>
        <w:kinsoku/>
        <w:wordWrap/>
        <w:overflowPunct/>
        <w:topLinePunct w:val="0"/>
        <w:autoSpaceDE/>
        <w:autoSpaceDN/>
        <w:bidi w:val="0"/>
        <w:adjustRightInd/>
        <w:spacing w:line="600" w:lineRule="exact"/>
        <w:ind w:leftChars="0" w:firstLine="684" w:firstLineChars="200"/>
        <w:textAlignment w:val="auto"/>
        <w:rPr>
          <w:rFonts w:hint="eastAsia" w:ascii="仿宋_GB2312" w:hAnsi="仿宋_GB2312" w:eastAsia="仿宋_GB2312" w:cs="仿宋_GB2312"/>
          <w:b w:val="0"/>
          <w:bCs w:val="0"/>
          <w:color w:val="auto"/>
          <w:spacing w:val="11"/>
          <w:sz w:val="32"/>
        </w:rPr>
      </w:pPr>
      <w:r>
        <w:rPr>
          <w:rFonts w:hint="eastAsia" w:ascii="仿宋_GB2312" w:hAnsi="仿宋_GB2312" w:eastAsia="仿宋_GB2312" w:cs="仿宋_GB2312"/>
          <w:b w:val="0"/>
          <w:bCs w:val="0"/>
          <w:color w:val="auto"/>
          <w:spacing w:val="11"/>
          <w:sz w:val="32"/>
        </w:rPr>
        <w:t>牵头单位：县</w:t>
      </w:r>
      <w:r>
        <w:rPr>
          <w:rFonts w:hint="eastAsia" w:ascii="仿宋_GB2312" w:hAnsi="仿宋_GB2312" w:eastAsia="仿宋_GB2312" w:cs="仿宋_GB2312"/>
          <w:b w:val="0"/>
          <w:bCs w:val="0"/>
          <w:color w:val="auto"/>
          <w:spacing w:val="11"/>
          <w:sz w:val="32"/>
          <w:lang w:eastAsia="zh-CN"/>
        </w:rPr>
        <w:t>住房和城乡建设局</w:t>
      </w:r>
      <w:r>
        <w:rPr>
          <w:rFonts w:hint="eastAsia" w:ascii="仿宋_GB2312" w:hAnsi="仿宋_GB2312" w:eastAsia="仿宋_GB2312" w:cs="仿宋_GB2312"/>
          <w:b w:val="0"/>
          <w:bCs w:val="0"/>
          <w:color w:val="auto"/>
          <w:spacing w:val="11"/>
          <w:sz w:val="32"/>
        </w:rPr>
        <w:t>；责任单位：</w:t>
      </w:r>
      <w:r>
        <w:rPr>
          <w:rFonts w:hint="eastAsia" w:ascii="仿宋_GB2312" w:hAnsi="仿宋_GB2312" w:eastAsia="仿宋_GB2312" w:cs="仿宋_GB2312"/>
          <w:b w:val="0"/>
          <w:bCs w:val="0"/>
          <w:color w:val="auto"/>
          <w:spacing w:val="11"/>
          <w:sz w:val="32"/>
        </w:rPr>
        <w:t>县</w:t>
      </w:r>
      <w:r>
        <w:rPr>
          <w:rFonts w:hint="eastAsia" w:ascii="仿宋_GB2312" w:hAnsi="仿宋_GB2312" w:eastAsia="仿宋_GB2312" w:cs="仿宋_GB2312"/>
          <w:b w:val="0"/>
          <w:bCs w:val="0"/>
          <w:color w:val="auto"/>
          <w:spacing w:val="11"/>
          <w:sz w:val="32"/>
          <w:lang w:eastAsia="zh-CN"/>
        </w:rPr>
        <w:t>自然资源局</w:t>
      </w:r>
      <w:r>
        <w:rPr>
          <w:rFonts w:hint="eastAsia" w:ascii="仿宋_GB2312" w:hAnsi="仿宋_GB2312" w:eastAsia="仿宋_GB2312" w:cs="仿宋_GB2312"/>
          <w:b w:val="0"/>
          <w:bCs w:val="0"/>
          <w:color w:val="auto"/>
          <w:spacing w:val="11"/>
          <w:sz w:val="32"/>
        </w:rPr>
        <w:t>、</w:t>
      </w:r>
      <w:r>
        <w:rPr>
          <w:rFonts w:hint="eastAsia" w:ascii="仿宋_GB2312" w:hAnsi="仿宋_GB2312" w:eastAsia="仿宋_GB2312" w:cs="仿宋_GB2312"/>
          <w:b w:val="0"/>
          <w:bCs w:val="0"/>
          <w:color w:val="auto"/>
          <w:spacing w:val="11"/>
          <w:sz w:val="32"/>
        </w:rPr>
        <w:t>县财政局、</w:t>
      </w:r>
      <w:r>
        <w:rPr>
          <w:rFonts w:hint="eastAsia" w:ascii="仿宋_GB2312" w:hAnsi="仿宋_GB2312" w:eastAsia="仿宋_GB2312" w:cs="仿宋_GB2312"/>
          <w:b w:val="0"/>
          <w:bCs w:val="0"/>
          <w:color w:val="auto"/>
          <w:spacing w:val="11"/>
          <w:sz w:val="32"/>
          <w:lang w:eastAsia="zh-CN"/>
        </w:rPr>
        <w:t>其他有</w:t>
      </w:r>
      <w:r>
        <w:rPr>
          <w:rFonts w:hint="eastAsia" w:ascii="仿宋_GB2312" w:hAnsi="仿宋_GB2312" w:eastAsia="仿宋_GB2312" w:cs="仿宋_GB2312"/>
          <w:b w:val="0"/>
          <w:bCs w:val="0"/>
          <w:color w:val="auto"/>
          <w:spacing w:val="11"/>
          <w:sz w:val="32"/>
        </w:rPr>
        <w:t>关</w:t>
      </w:r>
      <w:r>
        <w:rPr>
          <w:rFonts w:hint="eastAsia" w:ascii="仿宋_GB2312" w:hAnsi="仿宋_GB2312" w:eastAsia="仿宋_GB2312" w:cs="仿宋_GB2312"/>
          <w:b w:val="0"/>
          <w:bCs w:val="0"/>
          <w:color w:val="auto"/>
          <w:spacing w:val="11"/>
          <w:sz w:val="32"/>
          <w:lang w:eastAsia="zh-CN"/>
        </w:rPr>
        <w:t>单位</w:t>
      </w:r>
    </w:p>
    <w:p>
      <w:pPr>
        <w:keepNext w:val="0"/>
        <w:keepLines w:val="0"/>
        <w:pageBreakBefore w:val="0"/>
        <w:widowControl w:val="0"/>
        <w:kinsoku/>
        <w:wordWrap/>
        <w:overflowPunct/>
        <w:topLinePunct w:val="0"/>
        <w:autoSpaceDE/>
        <w:autoSpaceDN/>
        <w:bidi w:val="0"/>
        <w:adjustRightInd/>
        <w:spacing w:line="600" w:lineRule="exact"/>
        <w:ind w:leftChars="0" w:firstLine="684" w:firstLineChars="200"/>
        <w:textAlignment w:val="auto"/>
        <w:rPr>
          <w:rFonts w:hint="eastAsia" w:ascii="黑体" w:hAnsi="黑体" w:eastAsia="黑体"/>
          <w:color w:val="auto"/>
          <w:spacing w:val="11"/>
          <w:sz w:val="32"/>
        </w:rPr>
      </w:pPr>
      <w:r>
        <w:rPr>
          <w:rFonts w:hint="eastAsia" w:ascii="黑体" w:hAnsi="黑体" w:eastAsia="黑体"/>
          <w:color w:val="auto"/>
          <w:spacing w:val="11"/>
          <w:sz w:val="32"/>
        </w:rPr>
        <w:t>四、保障措施</w:t>
      </w:r>
    </w:p>
    <w:p>
      <w:pPr>
        <w:keepNext w:val="0"/>
        <w:keepLines w:val="0"/>
        <w:pageBreakBefore w:val="0"/>
        <w:widowControl w:val="0"/>
        <w:kinsoku/>
        <w:wordWrap/>
        <w:overflowPunct/>
        <w:topLinePunct w:val="0"/>
        <w:autoSpaceDE/>
        <w:autoSpaceDN/>
        <w:bidi w:val="0"/>
        <w:adjustRightInd/>
        <w:spacing w:line="600" w:lineRule="exact"/>
        <w:ind w:leftChars="0" w:firstLine="684" w:firstLineChars="200"/>
        <w:textAlignment w:val="auto"/>
        <w:rPr>
          <w:rFonts w:hint="eastAsia" w:ascii="仿宋_GB2312" w:hAnsi="仿宋_GB2312" w:eastAsia="仿宋_GB2312"/>
          <w:color w:val="auto"/>
          <w:spacing w:val="11"/>
          <w:sz w:val="32"/>
        </w:rPr>
      </w:pPr>
      <w:r>
        <w:rPr>
          <w:rFonts w:hint="eastAsia" w:ascii="楷体_GB2312" w:hAnsi="楷体_GB2312" w:eastAsia="楷体_GB2312"/>
          <w:b w:val="0"/>
          <w:bCs/>
          <w:color w:val="auto"/>
          <w:spacing w:val="11"/>
          <w:sz w:val="32"/>
        </w:rPr>
        <w:t>（一）加强组织协调。</w:t>
      </w:r>
      <w:r>
        <w:rPr>
          <w:rFonts w:hint="eastAsia" w:ascii="仿宋_GB2312" w:hAnsi="仿宋_GB2312" w:eastAsia="仿宋_GB2312"/>
          <w:color w:val="auto"/>
          <w:spacing w:val="11"/>
          <w:sz w:val="32"/>
        </w:rPr>
        <w:t>进一步加强县三产服务业转型发展工作领导小组的统筹协调作用，充分发挥各职能部门的职责，形成推动服务业发展的合力。充分</w:t>
      </w:r>
      <w:r>
        <w:rPr>
          <w:rFonts w:hint="eastAsia" w:ascii="仿宋_GB2312" w:hAnsi="仿宋_GB2312" w:eastAsia="仿宋_GB2312"/>
          <w:color w:val="auto"/>
          <w:spacing w:val="11"/>
          <w:sz w:val="32"/>
          <w:lang w:val="en-US" w:eastAsia="zh-CN"/>
        </w:rPr>
        <w:t>坚持</w:t>
      </w:r>
      <w:r>
        <w:rPr>
          <w:rFonts w:hint="eastAsia" w:ascii="仿宋_GB2312" w:hAnsi="仿宋_GB2312" w:eastAsia="仿宋_GB2312"/>
          <w:color w:val="auto"/>
          <w:spacing w:val="11"/>
          <w:sz w:val="32"/>
        </w:rPr>
        <w:t>县三产服务业转型发展联席会议制度，县三产服务业转型发展领导小组办公室负责承担联席会议相关工作，每月至少召开一次工作推进会议，研究制定加快服务业发展的政策措施，谋划符合襄城实际的服务业产业项目，定期协调解决服务业发展改革中的重大问题，督促检查服务业发展政策措施和目标任务的落实。建立工作台账，实行项目化管理，积分制考核，明确责任，倒排工期，定期向县委县政府汇报。</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val="0"/>
        <w:spacing w:line="600" w:lineRule="exact"/>
        <w:ind w:left="0" w:leftChars="0" w:right="0" w:rightChars="0" w:firstLine="684" w:firstLineChars="200"/>
        <w:jc w:val="both"/>
        <w:textAlignment w:val="auto"/>
        <w:outlineLvl w:val="9"/>
        <w:rPr>
          <w:rFonts w:hint="eastAsia" w:ascii="仿宋" w:hAnsi="仿宋" w:eastAsia="仿宋" w:cs="仿宋"/>
          <w:b/>
          <w:bCs/>
          <w:color w:val="auto"/>
          <w:spacing w:val="0"/>
          <w:w w:val="100"/>
          <w:position w:val="0"/>
          <w:sz w:val="32"/>
          <w:szCs w:val="32"/>
          <w:lang w:val="en-US" w:eastAsia="zh-CN"/>
        </w:rPr>
      </w:pPr>
      <w:r>
        <w:rPr>
          <w:rFonts w:hint="eastAsia" w:ascii="楷体_GB2312" w:hAnsi="楷体_GB2312" w:eastAsia="楷体_GB2312"/>
          <w:b w:val="0"/>
          <w:bCs/>
          <w:color w:val="auto"/>
          <w:spacing w:val="11"/>
          <w:sz w:val="32"/>
        </w:rPr>
        <w:t>（二）突出项目带动。</w:t>
      </w:r>
      <w:r>
        <w:rPr>
          <w:rFonts w:hint="eastAsia" w:ascii="仿宋_GB2312" w:hAnsi="仿宋_GB2312" w:eastAsia="仿宋_GB2312" w:cs="仿宋_GB2312"/>
          <w:color w:val="auto"/>
          <w:spacing w:val="11"/>
          <w:sz w:val="32"/>
        </w:rPr>
        <w:t>实施项目建设带动工程，</w:t>
      </w:r>
      <w:r>
        <w:rPr>
          <w:rFonts w:hint="eastAsia" w:ascii="仿宋_GB2312" w:hAnsi="仿宋_GB2312" w:eastAsia="仿宋_GB2312" w:cs="仿宋_GB2312"/>
          <w:b w:val="0"/>
          <w:bCs w:val="0"/>
          <w:color w:val="auto"/>
          <w:spacing w:val="0"/>
          <w:w w:val="100"/>
          <w:position w:val="0"/>
          <w:sz w:val="32"/>
          <w:szCs w:val="32"/>
          <w:lang w:val="en-US" w:eastAsia="zh-CN"/>
        </w:rPr>
        <w:t>三产服务业领导小组办公室，</w:t>
      </w:r>
      <w:r>
        <w:rPr>
          <w:rFonts w:hint="eastAsia" w:ascii="仿宋_GB2312" w:hAnsi="仿宋_GB2312" w:eastAsia="仿宋_GB2312" w:cs="仿宋_GB2312"/>
          <w:color w:val="auto"/>
          <w:spacing w:val="0"/>
          <w:sz w:val="32"/>
          <w:szCs w:val="32"/>
        </w:rPr>
        <w:t>要加大重点项目建设的</w:t>
      </w:r>
      <w:r>
        <w:rPr>
          <w:rFonts w:hint="eastAsia" w:ascii="仿宋_GB2312" w:hAnsi="仿宋_GB2312" w:eastAsia="仿宋_GB2312" w:cs="仿宋_GB2312"/>
          <w:color w:val="auto"/>
          <w:spacing w:val="0"/>
          <w:sz w:val="32"/>
          <w:szCs w:val="32"/>
          <w:lang w:eastAsia="zh-CN"/>
        </w:rPr>
        <w:t>协调</w:t>
      </w:r>
      <w:r>
        <w:rPr>
          <w:rFonts w:hint="eastAsia" w:ascii="仿宋_GB2312" w:hAnsi="仿宋_GB2312" w:eastAsia="仿宋_GB2312" w:cs="仿宋_GB2312"/>
          <w:color w:val="auto"/>
          <w:spacing w:val="0"/>
          <w:sz w:val="32"/>
          <w:szCs w:val="32"/>
        </w:rPr>
        <w:t>推进力度，切实抓好项目审批、选址、论证等各个环节的前期工作，解决好项目的手续、土地、资金等问题，倒排工期，挂图作战，力争早建成、早投产、早见效；企业新上项目，要有前瞻性和环保意识，首先要考虑安评、环评、能评等问题，高耗能、高污染的项目坚决杜绝，要上就上科技含量高、节能减排的好项目；各职能部门要进一步健全完善重点项目推进机制，</w:t>
      </w:r>
      <w:r>
        <w:rPr>
          <w:rFonts w:hint="eastAsia" w:ascii="仿宋_GB2312" w:hAnsi="仿宋_GB2312" w:eastAsia="仿宋_GB2312" w:cs="仿宋_GB2312"/>
          <w:b w:val="0"/>
          <w:bCs w:val="0"/>
          <w:color w:val="auto"/>
          <w:spacing w:val="0"/>
          <w:w w:val="100"/>
          <w:position w:val="0"/>
          <w:sz w:val="32"/>
          <w:szCs w:val="32"/>
        </w:rPr>
        <w:t>科学制定工作台账，</w:t>
      </w:r>
      <w:r>
        <w:rPr>
          <w:rFonts w:hint="eastAsia" w:ascii="仿宋_GB2312" w:hAnsi="仿宋_GB2312" w:eastAsia="仿宋_GB2312" w:cs="仿宋_GB2312"/>
          <w:color w:val="auto"/>
          <w:spacing w:val="0"/>
          <w:sz w:val="32"/>
          <w:szCs w:val="32"/>
        </w:rPr>
        <w:t>压实工作责任，</w:t>
      </w:r>
      <w:r>
        <w:rPr>
          <w:rFonts w:hint="eastAsia" w:ascii="仿宋_GB2312" w:hAnsi="仿宋_GB2312" w:eastAsia="仿宋_GB2312" w:cs="仿宋_GB2312"/>
          <w:b w:val="0"/>
          <w:bCs w:val="0"/>
          <w:color w:val="auto"/>
          <w:spacing w:val="0"/>
          <w:w w:val="100"/>
          <w:position w:val="0"/>
          <w:sz w:val="32"/>
          <w:szCs w:val="32"/>
        </w:rPr>
        <w:t>明确分包领导、责任人和推进时间节点，</w:t>
      </w:r>
      <w:r>
        <w:rPr>
          <w:rFonts w:hint="eastAsia" w:ascii="仿宋_GB2312" w:hAnsi="仿宋_GB2312" w:eastAsia="仿宋_GB2312" w:cs="仿宋_GB2312"/>
          <w:color w:val="auto"/>
          <w:spacing w:val="0"/>
          <w:sz w:val="32"/>
          <w:szCs w:val="32"/>
        </w:rPr>
        <w:t>狠抓工作落实</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 xml:space="preserve">努力形成众志成城攻项目、群策群力抓推进的良好局面。 </w:t>
      </w:r>
      <w:r>
        <w:rPr>
          <w:rFonts w:hint="eastAsia" w:ascii="仿宋" w:hAnsi="仿宋" w:eastAsia="仿宋" w:cs="仿宋"/>
          <w:color w:val="auto"/>
          <w:spacing w:val="0"/>
          <w:sz w:val="24"/>
          <w:szCs w:val="24"/>
        </w:rPr>
        <w:t>　　</w:t>
      </w:r>
    </w:p>
    <w:p>
      <w:pPr>
        <w:keepNext w:val="0"/>
        <w:keepLines w:val="0"/>
        <w:pageBreakBefore w:val="0"/>
        <w:widowControl w:val="0"/>
        <w:kinsoku/>
        <w:wordWrap/>
        <w:overflowPunct/>
        <w:topLinePunct w:val="0"/>
        <w:autoSpaceDE/>
        <w:autoSpaceDN/>
        <w:bidi w:val="0"/>
        <w:adjustRightInd/>
        <w:spacing w:line="600" w:lineRule="exact"/>
        <w:ind w:leftChars="0" w:firstLine="684" w:firstLineChars="200"/>
        <w:textAlignment w:val="auto"/>
        <w:rPr>
          <w:rFonts w:hint="eastAsia" w:ascii="仿宋_GB2312" w:hAnsi="仿宋_GB2312" w:eastAsia="仿宋_GB2312"/>
          <w:color w:val="auto"/>
          <w:spacing w:val="11"/>
          <w:sz w:val="32"/>
        </w:rPr>
      </w:pPr>
      <w:r>
        <w:rPr>
          <w:rFonts w:hint="eastAsia" w:ascii="楷体" w:hAnsi="楷体" w:eastAsia="楷体" w:cs="楷体"/>
          <w:b w:val="0"/>
          <w:bCs w:val="0"/>
          <w:color w:val="auto"/>
          <w:spacing w:val="11"/>
          <w:sz w:val="32"/>
          <w:lang w:eastAsia="zh-CN"/>
        </w:rPr>
        <w:t>（三）</w:t>
      </w:r>
      <w:r>
        <w:rPr>
          <w:rFonts w:hint="eastAsia" w:ascii="楷体" w:hAnsi="楷体" w:eastAsia="楷体" w:cs="楷体"/>
          <w:b w:val="0"/>
          <w:bCs w:val="0"/>
          <w:color w:val="auto"/>
          <w:spacing w:val="11"/>
          <w:sz w:val="32"/>
        </w:rPr>
        <w:t>强化政策支持。</w:t>
      </w:r>
      <w:r>
        <w:rPr>
          <w:rFonts w:hint="eastAsia" w:ascii="仿宋_GB2312" w:hAnsi="仿宋_GB2312" w:eastAsia="仿宋_GB2312"/>
          <w:color w:val="auto"/>
          <w:spacing w:val="11"/>
          <w:sz w:val="32"/>
        </w:rPr>
        <w:t>出台襄城县服务业发展支持政策，保障和优化我县服务业用地比例，县城和小城镇黄金地段优先用于发展服务业；实施服务业发展的减税降费政策，对我县文化旅游、养老服务、商贸物流服务业用电、用水、用气、用热执行与工业企业相同的价格政策，切实降低企业负担；加大财政投入，综合运用补助、贴息、政府采购、资本金入股、奖励等方式,加大对文化旅游、现代物流、电子商务等领域项目建设支持力度；资金使用、管理办法由县商务局、特色商业区管委会牵头，会同有关部门制定，县财政局加强资金监管和效果评估。</w:t>
      </w:r>
    </w:p>
    <w:p>
      <w:pPr>
        <w:keepNext w:val="0"/>
        <w:keepLines w:val="0"/>
        <w:pageBreakBefore w:val="0"/>
        <w:widowControl w:val="0"/>
        <w:kinsoku/>
        <w:wordWrap/>
        <w:overflowPunct/>
        <w:topLinePunct w:val="0"/>
        <w:autoSpaceDE/>
        <w:autoSpaceDN/>
        <w:bidi w:val="0"/>
        <w:adjustRightInd/>
        <w:spacing w:line="600" w:lineRule="exact"/>
        <w:ind w:leftChars="0" w:firstLine="684" w:firstLineChars="200"/>
        <w:textAlignment w:val="auto"/>
        <w:rPr>
          <w:rFonts w:hint="eastAsia" w:ascii="仿宋_GB2312" w:hAnsi="仿宋_GB2312" w:eastAsia="仿宋_GB2312"/>
          <w:color w:val="auto"/>
          <w:spacing w:val="11"/>
          <w:sz w:val="32"/>
        </w:rPr>
      </w:pPr>
      <w:r>
        <w:rPr>
          <w:rFonts w:hint="eastAsia" w:ascii="楷体_GB2312" w:hAnsi="楷体_GB2312" w:eastAsia="楷体_GB2312"/>
          <w:b w:val="0"/>
          <w:bCs/>
          <w:color w:val="auto"/>
          <w:spacing w:val="11"/>
          <w:sz w:val="32"/>
        </w:rPr>
        <w:t>（</w:t>
      </w:r>
      <w:r>
        <w:rPr>
          <w:rFonts w:hint="eastAsia" w:ascii="楷体_GB2312" w:hAnsi="楷体_GB2312" w:eastAsia="楷体_GB2312"/>
          <w:b w:val="0"/>
          <w:bCs/>
          <w:color w:val="auto"/>
          <w:spacing w:val="11"/>
          <w:sz w:val="32"/>
          <w:lang w:eastAsia="zh-CN"/>
        </w:rPr>
        <w:t>四</w:t>
      </w:r>
      <w:r>
        <w:rPr>
          <w:rFonts w:hint="eastAsia" w:ascii="楷体_GB2312" w:hAnsi="楷体_GB2312" w:eastAsia="楷体_GB2312"/>
          <w:b w:val="0"/>
          <w:bCs/>
          <w:color w:val="auto"/>
          <w:spacing w:val="11"/>
          <w:sz w:val="32"/>
        </w:rPr>
        <w:t>）严格督导考评。</w:t>
      </w:r>
      <w:r>
        <w:rPr>
          <w:rFonts w:hint="eastAsia" w:ascii="仿宋_GB2312" w:hAnsi="仿宋_GB2312" w:eastAsia="仿宋_GB2312"/>
          <w:color w:val="auto"/>
          <w:spacing w:val="11"/>
          <w:sz w:val="32"/>
        </w:rPr>
        <w:t>各乡镇各部门结合工作实际，抓紧制定</w:t>
      </w:r>
      <w:r>
        <w:rPr>
          <w:rFonts w:hint="eastAsia" w:ascii="仿宋_GB2312" w:hAnsi="仿宋_GB2312" w:eastAsia="仿宋_GB2312"/>
          <w:color w:val="auto"/>
          <w:spacing w:val="11"/>
          <w:sz w:val="32"/>
          <w:lang w:val="en-US" w:eastAsia="zh-CN"/>
        </w:rPr>
        <w:t>2019年</w:t>
      </w:r>
      <w:r>
        <w:rPr>
          <w:rFonts w:hint="eastAsia" w:ascii="仿宋_GB2312" w:hAnsi="仿宋_GB2312" w:eastAsia="仿宋_GB2312"/>
          <w:color w:val="auto"/>
          <w:spacing w:val="11"/>
          <w:sz w:val="32"/>
        </w:rPr>
        <w:t>实施方案。县三产服务业转型发展领导小组办公室加强服务业发展目标、工作任务的分解落实和统筹协调。县委组织部、县目标办将三产服务业转型发展年度目标和重点工作任务完成情况纳入各乡镇各部门领导班子年度目标考核内容。县委、县政府督查室会同县发改委、县统计局、县监察局等单位，定期对各乡镇各部门服务业转型发展情况进行督查，确保责任到位、任务落实到位。</w:t>
      </w:r>
    </w:p>
    <w:p>
      <w:pPr>
        <w:keepNext w:val="0"/>
        <w:keepLines w:val="0"/>
        <w:pageBreakBefore w:val="0"/>
        <w:widowControl w:val="0"/>
        <w:numPr>
          <w:ilvl w:val="0"/>
          <w:numId w:val="0"/>
        </w:numPr>
        <w:kinsoku/>
        <w:wordWrap/>
        <w:overflowPunct/>
        <w:topLinePunct w:val="0"/>
        <w:autoSpaceDE/>
        <w:autoSpaceDN/>
        <w:bidi w:val="0"/>
        <w:adjustRightInd/>
        <w:spacing w:line="600" w:lineRule="exact"/>
        <w:ind w:right="0" w:rightChars="0"/>
        <w:jc w:val="both"/>
        <w:textAlignment w:val="auto"/>
        <w:outlineLvl w:val="9"/>
        <w:rPr>
          <w:rFonts w:hint="eastAsia" w:ascii="黑体" w:hAnsi="黑体" w:eastAsia="黑体" w:cs="黑体"/>
          <w:color w:val="auto"/>
          <w:spacing w:val="0"/>
          <w:sz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B37105"/>
    <w:rsid w:val="00C61B8C"/>
    <w:rsid w:val="02EF27E3"/>
    <w:rsid w:val="03D00D43"/>
    <w:rsid w:val="04322695"/>
    <w:rsid w:val="05666BE9"/>
    <w:rsid w:val="065166E5"/>
    <w:rsid w:val="08216702"/>
    <w:rsid w:val="08D50744"/>
    <w:rsid w:val="096D5D77"/>
    <w:rsid w:val="0AC72593"/>
    <w:rsid w:val="0B184767"/>
    <w:rsid w:val="0BA62F54"/>
    <w:rsid w:val="0C6016CD"/>
    <w:rsid w:val="0CED71D8"/>
    <w:rsid w:val="0D811D1B"/>
    <w:rsid w:val="0DAC3887"/>
    <w:rsid w:val="0EC93742"/>
    <w:rsid w:val="105F19CF"/>
    <w:rsid w:val="11B37105"/>
    <w:rsid w:val="121B400E"/>
    <w:rsid w:val="15C83A1B"/>
    <w:rsid w:val="17353BC9"/>
    <w:rsid w:val="18B324FB"/>
    <w:rsid w:val="191D501D"/>
    <w:rsid w:val="19392ED3"/>
    <w:rsid w:val="19402677"/>
    <w:rsid w:val="19BB1D84"/>
    <w:rsid w:val="19D06A8F"/>
    <w:rsid w:val="19F36D29"/>
    <w:rsid w:val="1BB70651"/>
    <w:rsid w:val="1BBE0DE4"/>
    <w:rsid w:val="1BC76503"/>
    <w:rsid w:val="1D5D63C6"/>
    <w:rsid w:val="1DC1568A"/>
    <w:rsid w:val="1E18432B"/>
    <w:rsid w:val="1EF04C6E"/>
    <w:rsid w:val="1F595269"/>
    <w:rsid w:val="2086574C"/>
    <w:rsid w:val="223E26CD"/>
    <w:rsid w:val="226A4F8E"/>
    <w:rsid w:val="239D3A34"/>
    <w:rsid w:val="26232A41"/>
    <w:rsid w:val="26890E05"/>
    <w:rsid w:val="26C7122C"/>
    <w:rsid w:val="27151F61"/>
    <w:rsid w:val="285F2EFC"/>
    <w:rsid w:val="29B113FC"/>
    <w:rsid w:val="2A64620A"/>
    <w:rsid w:val="2B3275B3"/>
    <w:rsid w:val="2D200BDE"/>
    <w:rsid w:val="2F285F31"/>
    <w:rsid w:val="2FAD6483"/>
    <w:rsid w:val="2FE202CB"/>
    <w:rsid w:val="301C07FF"/>
    <w:rsid w:val="307E0F75"/>
    <w:rsid w:val="30D74A1F"/>
    <w:rsid w:val="30E80088"/>
    <w:rsid w:val="312E20B9"/>
    <w:rsid w:val="32F93EDF"/>
    <w:rsid w:val="33580FA6"/>
    <w:rsid w:val="344931F2"/>
    <w:rsid w:val="35E649A0"/>
    <w:rsid w:val="367064B4"/>
    <w:rsid w:val="374004A2"/>
    <w:rsid w:val="37564BA3"/>
    <w:rsid w:val="37877FD3"/>
    <w:rsid w:val="38851D74"/>
    <w:rsid w:val="389568A1"/>
    <w:rsid w:val="38C532CC"/>
    <w:rsid w:val="38E421E9"/>
    <w:rsid w:val="393755AA"/>
    <w:rsid w:val="3AA52F31"/>
    <w:rsid w:val="3B4F42BC"/>
    <w:rsid w:val="3D1F5E67"/>
    <w:rsid w:val="3E9B013F"/>
    <w:rsid w:val="3ECE6EE2"/>
    <w:rsid w:val="40446D51"/>
    <w:rsid w:val="40582821"/>
    <w:rsid w:val="40813317"/>
    <w:rsid w:val="420200FD"/>
    <w:rsid w:val="424E1310"/>
    <w:rsid w:val="442F0144"/>
    <w:rsid w:val="44454E14"/>
    <w:rsid w:val="45FA47C5"/>
    <w:rsid w:val="46EF6216"/>
    <w:rsid w:val="470F38D8"/>
    <w:rsid w:val="48865D21"/>
    <w:rsid w:val="488F1B42"/>
    <w:rsid w:val="4A48330D"/>
    <w:rsid w:val="4A6D7D56"/>
    <w:rsid w:val="4B306934"/>
    <w:rsid w:val="4CD658A6"/>
    <w:rsid w:val="4CF15B3A"/>
    <w:rsid w:val="4D497648"/>
    <w:rsid w:val="4FE4003F"/>
    <w:rsid w:val="50BF3EB2"/>
    <w:rsid w:val="50D97519"/>
    <w:rsid w:val="51A6355B"/>
    <w:rsid w:val="52435C2D"/>
    <w:rsid w:val="52C2709A"/>
    <w:rsid w:val="535631ED"/>
    <w:rsid w:val="5361496F"/>
    <w:rsid w:val="53A17A8E"/>
    <w:rsid w:val="54027495"/>
    <w:rsid w:val="55CE4025"/>
    <w:rsid w:val="55DB36FF"/>
    <w:rsid w:val="56943F20"/>
    <w:rsid w:val="58732C11"/>
    <w:rsid w:val="588B553B"/>
    <w:rsid w:val="58CC67EF"/>
    <w:rsid w:val="5A9A1149"/>
    <w:rsid w:val="5EDA0705"/>
    <w:rsid w:val="5F091942"/>
    <w:rsid w:val="60194430"/>
    <w:rsid w:val="60376ED0"/>
    <w:rsid w:val="610538B8"/>
    <w:rsid w:val="6182413C"/>
    <w:rsid w:val="61990A57"/>
    <w:rsid w:val="630064C1"/>
    <w:rsid w:val="637D5D3B"/>
    <w:rsid w:val="653C5061"/>
    <w:rsid w:val="658A12E9"/>
    <w:rsid w:val="659D7745"/>
    <w:rsid w:val="65DE2220"/>
    <w:rsid w:val="6764674B"/>
    <w:rsid w:val="681112E0"/>
    <w:rsid w:val="691660A0"/>
    <w:rsid w:val="6AB866B8"/>
    <w:rsid w:val="6C384A0B"/>
    <w:rsid w:val="6EA82555"/>
    <w:rsid w:val="6EF1450E"/>
    <w:rsid w:val="6FF052D8"/>
    <w:rsid w:val="71261F28"/>
    <w:rsid w:val="7180446C"/>
    <w:rsid w:val="727C5736"/>
    <w:rsid w:val="72AF70DE"/>
    <w:rsid w:val="72B11142"/>
    <w:rsid w:val="73862DCA"/>
    <w:rsid w:val="739A2162"/>
    <w:rsid w:val="74A03AB8"/>
    <w:rsid w:val="74EF2EF7"/>
    <w:rsid w:val="75E75C46"/>
    <w:rsid w:val="763F42CC"/>
    <w:rsid w:val="76FA5A90"/>
    <w:rsid w:val="77F76054"/>
    <w:rsid w:val="781B7B70"/>
    <w:rsid w:val="79472A49"/>
    <w:rsid w:val="7B8049A3"/>
    <w:rsid w:val="7D5437BB"/>
    <w:rsid w:val="7FF71A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2019-01-08T00:08:00Z</dcterms:created>
  <dc:creator>那闪耀的星辰</dc:creator>
  <cp:lastModifiedBy>胡新帅</cp:lastModifiedBy>
  <dcterms:modified xsi:type="dcterms:W3CDTF">2019-01-24T10:45:36Z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